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0B88">
      <w:pPr>
        <w:spacing w:line="578"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3E00559F">
      <w:pPr>
        <w:spacing w:line="578" w:lineRule="exact"/>
        <w:jc w:val="center"/>
        <w:rPr>
          <w:rFonts w:ascii="方正小标宋简体" w:hAnsi="方正小标宋简体" w:eastAsia="方正小标宋简体" w:cs="方正小标宋简体"/>
          <w:color w:val="auto"/>
          <w:sz w:val="44"/>
          <w:szCs w:val="44"/>
          <w:highlight w:val="none"/>
        </w:rPr>
      </w:pPr>
    </w:p>
    <w:p w14:paraId="75D588B7">
      <w:pPr>
        <w:spacing w:line="578" w:lineRule="exact"/>
        <w:jc w:val="center"/>
        <w:outlineLvl w:val="0"/>
        <w:rPr>
          <w:rFonts w:hint="default" w:cs="方正小标宋简体" w:asciiTheme="majorEastAsia" w:hAnsiTheme="majorEastAsia" w:eastAsiaTheme="majorEastAsia"/>
          <w:b/>
          <w:bCs/>
          <w:color w:val="auto"/>
          <w:sz w:val="44"/>
          <w:szCs w:val="44"/>
          <w:highlight w:val="none"/>
          <w:lang w:val="en-US" w:eastAsia="zh-CN"/>
        </w:rPr>
      </w:pPr>
      <w:r>
        <w:rPr>
          <w:rFonts w:hint="eastAsia" w:cs="方正小标宋简体" w:asciiTheme="majorEastAsia" w:hAnsiTheme="majorEastAsia" w:eastAsiaTheme="majorEastAsia"/>
          <w:b/>
          <w:bCs/>
          <w:color w:val="auto"/>
          <w:sz w:val="44"/>
          <w:szCs w:val="44"/>
          <w:highlight w:val="none"/>
          <w:lang w:val="en-US" w:eastAsia="zh-CN"/>
        </w:rPr>
        <w:t>海口市金融控股集团有限公司</w:t>
      </w:r>
    </w:p>
    <w:p w14:paraId="534DC1E1">
      <w:pPr>
        <w:spacing w:line="578" w:lineRule="exact"/>
        <w:jc w:val="center"/>
        <w:outlineLvl w:val="0"/>
        <w:rPr>
          <w:rFonts w:hint="eastAsia" w:cs="方正小标宋简体" w:asciiTheme="majorEastAsia" w:hAnsiTheme="majorEastAsia" w:eastAsiaTheme="majorEastAsia"/>
          <w:b/>
          <w:bCs/>
          <w:color w:val="auto"/>
          <w:sz w:val="44"/>
          <w:szCs w:val="44"/>
          <w:highlight w:val="none"/>
        </w:rPr>
      </w:pPr>
      <w:bookmarkStart w:id="0" w:name="_Toc23484"/>
      <w:bookmarkStart w:id="1" w:name="_Toc3620"/>
      <w:bookmarkStart w:id="2" w:name="_Toc20291"/>
      <w:r>
        <w:rPr>
          <w:rFonts w:hint="eastAsia" w:cs="方正小标宋简体" w:asciiTheme="majorEastAsia" w:hAnsiTheme="majorEastAsia" w:eastAsiaTheme="majorEastAsia"/>
          <w:b/>
          <w:bCs/>
          <w:color w:val="auto"/>
          <w:sz w:val="44"/>
          <w:szCs w:val="44"/>
          <w:highlight w:val="none"/>
          <w:u w:val="none"/>
        </w:rPr>
        <w:t>企业主体评级服务采购项目</w:t>
      </w:r>
      <w:bookmarkEnd w:id="0"/>
      <w:bookmarkEnd w:id="1"/>
      <w:bookmarkEnd w:id="2"/>
    </w:p>
    <w:p w14:paraId="46A5FC44">
      <w:pPr>
        <w:spacing w:line="578" w:lineRule="exact"/>
        <w:jc w:val="center"/>
        <w:rPr>
          <w:rFonts w:hint="eastAsia" w:cs="方正小标宋简体" w:asciiTheme="majorEastAsia" w:hAnsiTheme="majorEastAsia" w:eastAsiaTheme="majorEastAsia"/>
          <w:b/>
          <w:bCs/>
          <w:color w:val="auto"/>
          <w:sz w:val="44"/>
          <w:szCs w:val="44"/>
          <w:highlight w:val="none"/>
        </w:rPr>
      </w:pPr>
    </w:p>
    <w:p w14:paraId="23DC8960">
      <w:pPr>
        <w:spacing w:line="578" w:lineRule="exact"/>
        <w:jc w:val="center"/>
        <w:rPr>
          <w:rFonts w:hint="eastAsia" w:cs="方正小标宋简体" w:asciiTheme="majorEastAsia" w:hAnsiTheme="majorEastAsia" w:eastAsiaTheme="majorEastAsia"/>
          <w:b/>
          <w:bCs/>
          <w:color w:val="auto"/>
          <w:sz w:val="44"/>
          <w:szCs w:val="44"/>
          <w:highlight w:val="none"/>
        </w:rPr>
      </w:pPr>
    </w:p>
    <w:p w14:paraId="6B9A70CC">
      <w:pPr>
        <w:spacing w:line="578" w:lineRule="exact"/>
        <w:jc w:val="center"/>
        <w:rPr>
          <w:rFonts w:hint="eastAsia" w:cs="方正小标宋简体" w:asciiTheme="majorEastAsia" w:hAnsiTheme="majorEastAsia" w:eastAsiaTheme="majorEastAsia"/>
          <w:b/>
          <w:bCs/>
          <w:color w:val="auto"/>
          <w:sz w:val="44"/>
          <w:szCs w:val="44"/>
          <w:highlight w:val="none"/>
        </w:rPr>
      </w:pPr>
    </w:p>
    <w:p w14:paraId="1162B4BE">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3" w:name="_Toc28748"/>
      <w:bookmarkStart w:id="4" w:name="_Toc28255"/>
      <w:bookmarkStart w:id="5" w:name="_Toc18488"/>
      <w:r>
        <w:rPr>
          <w:rFonts w:hint="eastAsia" w:cs="方正小标宋简体" w:asciiTheme="majorEastAsia" w:hAnsiTheme="majorEastAsia" w:eastAsiaTheme="majorEastAsia"/>
          <w:b/>
          <w:bCs/>
          <w:color w:val="auto"/>
          <w:sz w:val="84"/>
          <w:szCs w:val="84"/>
          <w:highlight w:val="none"/>
        </w:rPr>
        <w:t>比</w:t>
      </w:r>
      <w:bookmarkEnd w:id="3"/>
      <w:bookmarkEnd w:id="4"/>
      <w:bookmarkEnd w:id="5"/>
    </w:p>
    <w:p w14:paraId="2729C042">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6" w:name="_Toc13946"/>
      <w:bookmarkStart w:id="7" w:name="_Toc19528"/>
      <w:bookmarkStart w:id="8" w:name="_Toc22323"/>
      <w:r>
        <w:rPr>
          <w:rFonts w:hint="eastAsia" w:cs="方正小标宋简体" w:asciiTheme="majorEastAsia" w:hAnsiTheme="majorEastAsia" w:eastAsiaTheme="majorEastAsia"/>
          <w:b/>
          <w:bCs/>
          <w:color w:val="auto"/>
          <w:sz w:val="84"/>
          <w:szCs w:val="84"/>
          <w:highlight w:val="none"/>
        </w:rPr>
        <w:t>选</w:t>
      </w:r>
      <w:bookmarkEnd w:id="6"/>
      <w:bookmarkEnd w:id="7"/>
      <w:bookmarkEnd w:id="8"/>
    </w:p>
    <w:p w14:paraId="49E8540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9" w:name="_Toc24935"/>
      <w:bookmarkStart w:id="10" w:name="_Toc6712"/>
      <w:bookmarkStart w:id="11" w:name="_Toc11518"/>
      <w:r>
        <w:rPr>
          <w:rFonts w:hint="eastAsia" w:cs="方正小标宋简体" w:asciiTheme="majorEastAsia" w:hAnsiTheme="majorEastAsia" w:eastAsiaTheme="majorEastAsia"/>
          <w:b/>
          <w:bCs/>
          <w:color w:val="auto"/>
          <w:sz w:val="84"/>
          <w:szCs w:val="84"/>
          <w:highlight w:val="none"/>
        </w:rPr>
        <w:t>文</w:t>
      </w:r>
      <w:bookmarkEnd w:id="9"/>
      <w:bookmarkEnd w:id="10"/>
      <w:bookmarkEnd w:id="11"/>
    </w:p>
    <w:p w14:paraId="6FB752B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cs="方正小标宋简体" w:asciiTheme="majorEastAsia" w:hAnsiTheme="majorEastAsia" w:eastAsiaTheme="majorEastAsia"/>
          <w:b/>
          <w:bCs/>
          <w:color w:val="auto"/>
          <w:sz w:val="44"/>
          <w:szCs w:val="44"/>
          <w:highlight w:val="none"/>
        </w:rPr>
      </w:pPr>
      <w:bookmarkStart w:id="12" w:name="_Toc10205"/>
      <w:bookmarkStart w:id="13" w:name="_Toc28480"/>
      <w:bookmarkStart w:id="14" w:name="_Toc6015"/>
      <w:r>
        <w:rPr>
          <w:rFonts w:hint="eastAsia" w:cs="方正小标宋简体" w:asciiTheme="majorEastAsia" w:hAnsiTheme="majorEastAsia" w:eastAsiaTheme="majorEastAsia"/>
          <w:b/>
          <w:bCs/>
          <w:color w:val="auto"/>
          <w:sz w:val="84"/>
          <w:szCs w:val="84"/>
          <w:highlight w:val="none"/>
        </w:rPr>
        <w:t>件</w:t>
      </w:r>
      <w:bookmarkEnd w:id="12"/>
      <w:bookmarkEnd w:id="13"/>
      <w:bookmarkEnd w:id="14"/>
    </w:p>
    <w:p w14:paraId="08BB6378">
      <w:pPr>
        <w:rPr>
          <w:color w:val="auto"/>
          <w:highlight w:val="none"/>
        </w:rPr>
      </w:pPr>
    </w:p>
    <w:p w14:paraId="0FD41A71">
      <w:pPr>
        <w:rPr>
          <w:color w:val="auto"/>
          <w:highlight w:val="none"/>
        </w:rPr>
      </w:pPr>
    </w:p>
    <w:p w14:paraId="01C333F9">
      <w:pPr>
        <w:rPr>
          <w:color w:val="auto"/>
          <w:highlight w:val="none"/>
        </w:rPr>
      </w:pPr>
    </w:p>
    <w:p w14:paraId="12C36291">
      <w:pPr>
        <w:jc w:val="center"/>
        <w:rPr>
          <w:rFonts w:ascii="方正小标宋简体" w:hAnsi="方正小标宋简体" w:eastAsia="方正小标宋简体" w:cs="方正小标宋简体"/>
          <w:bCs/>
          <w:color w:val="auto"/>
          <w:sz w:val="36"/>
          <w:szCs w:val="36"/>
          <w:highlight w:val="none"/>
        </w:rPr>
      </w:pPr>
    </w:p>
    <w:p w14:paraId="26E78CA1">
      <w:pPr>
        <w:jc w:val="center"/>
        <w:rPr>
          <w:rFonts w:ascii="方正小标宋简体" w:hAnsi="方正小标宋简体" w:eastAsia="方正小标宋简体" w:cs="方正小标宋简体"/>
          <w:bCs/>
          <w:color w:val="auto"/>
          <w:sz w:val="36"/>
          <w:szCs w:val="36"/>
          <w:highlight w:val="none"/>
        </w:rPr>
      </w:pPr>
    </w:p>
    <w:p w14:paraId="56BDE5EE">
      <w:pPr>
        <w:jc w:val="center"/>
        <w:rPr>
          <w:rFonts w:ascii="方正小标宋简体" w:hAnsi="方正小标宋简体" w:eastAsia="方正小标宋简体" w:cs="方正小标宋简体"/>
          <w:bCs/>
          <w:color w:val="auto"/>
          <w:sz w:val="36"/>
          <w:szCs w:val="36"/>
          <w:highlight w:val="none"/>
        </w:rPr>
      </w:pPr>
    </w:p>
    <w:p w14:paraId="62287D36">
      <w:pPr>
        <w:jc w:val="center"/>
        <w:rPr>
          <w:rFonts w:ascii="方正小标宋简体" w:hAnsi="方正小标宋简体" w:eastAsia="方正小标宋简体" w:cs="方正小标宋简体"/>
          <w:bCs/>
          <w:color w:val="auto"/>
          <w:sz w:val="36"/>
          <w:szCs w:val="36"/>
          <w:highlight w:val="none"/>
        </w:rPr>
      </w:pPr>
    </w:p>
    <w:p w14:paraId="4F8529D6">
      <w:pPr>
        <w:jc w:val="center"/>
        <w:outlineLvl w:val="0"/>
        <w:rPr>
          <w:rFonts w:hint="eastAsia" w:ascii="方正小标宋简体" w:hAnsi="方正小标宋简体" w:eastAsia="方正小标宋简体" w:cs="方正小标宋简体"/>
          <w:bCs/>
          <w:color w:val="auto"/>
          <w:sz w:val="36"/>
          <w:szCs w:val="36"/>
          <w:highlight w:val="none"/>
        </w:rPr>
      </w:pPr>
      <w:bookmarkStart w:id="15" w:name="_Toc17603"/>
      <w:bookmarkStart w:id="16" w:name="_Toc29999"/>
      <w:bookmarkStart w:id="17" w:name="_Toc20502"/>
      <w:r>
        <w:rPr>
          <w:rFonts w:hint="eastAsia" w:ascii="方正小标宋简体" w:hAnsi="方正小标宋简体" w:eastAsia="方正小标宋简体" w:cs="方正小标宋简体"/>
          <w:bCs/>
          <w:color w:val="auto"/>
          <w:sz w:val="36"/>
          <w:szCs w:val="36"/>
          <w:highlight w:val="none"/>
          <w:lang w:val="en-US" w:eastAsia="zh-CN"/>
        </w:rPr>
        <w:t>比选</w:t>
      </w:r>
      <w:r>
        <w:rPr>
          <w:rFonts w:hint="eastAsia" w:ascii="方正小标宋简体" w:hAnsi="方正小标宋简体" w:eastAsia="方正小标宋简体" w:cs="方正小标宋简体"/>
          <w:bCs/>
          <w:color w:val="auto"/>
          <w:sz w:val="36"/>
          <w:szCs w:val="36"/>
          <w:highlight w:val="none"/>
        </w:rPr>
        <w:t>人：</w:t>
      </w:r>
      <w:r>
        <w:rPr>
          <w:rFonts w:hint="eastAsia" w:ascii="方正小标宋简体" w:hAnsi="方正小标宋简体" w:eastAsia="方正小标宋简体" w:cs="方正小标宋简体"/>
          <w:bCs/>
          <w:color w:val="auto"/>
          <w:sz w:val="36"/>
          <w:szCs w:val="36"/>
          <w:highlight w:val="none"/>
          <w:lang w:val="en-US" w:eastAsia="zh-CN"/>
        </w:rPr>
        <w:t>海口市金融控股</w:t>
      </w:r>
      <w:r>
        <w:rPr>
          <w:rFonts w:hint="eastAsia" w:ascii="方正小标宋简体" w:hAnsi="方正小标宋简体" w:eastAsia="方正小标宋简体" w:cs="方正小标宋简体"/>
          <w:bCs/>
          <w:color w:val="auto"/>
          <w:sz w:val="36"/>
          <w:szCs w:val="36"/>
          <w:highlight w:val="none"/>
        </w:rPr>
        <w:t>集团有限公司</w:t>
      </w:r>
      <w:bookmarkEnd w:id="15"/>
      <w:bookmarkEnd w:id="16"/>
      <w:bookmarkEnd w:id="17"/>
    </w:p>
    <w:p w14:paraId="21030684">
      <w:pPr>
        <w:pStyle w:val="3"/>
        <w:outlineLvl w:val="9"/>
        <w:rPr>
          <w:color w:val="auto"/>
          <w:highlight w:val="none"/>
        </w:rPr>
      </w:pPr>
    </w:p>
    <w:p w14:paraId="1BCBACC3">
      <w:pPr>
        <w:jc w:val="center"/>
        <w:rPr>
          <w:color w:val="auto"/>
          <w:highlight w:val="none"/>
        </w:rPr>
      </w:pPr>
      <w:r>
        <w:rPr>
          <w:rFonts w:hint="eastAsia" w:ascii="方正小标宋简体" w:hAnsi="方正小标宋简体" w:eastAsia="方正小标宋简体" w:cs="方正小标宋简体"/>
          <w:bCs/>
          <w:color w:val="auto"/>
          <w:sz w:val="36"/>
          <w:szCs w:val="36"/>
          <w:highlight w:val="none"/>
        </w:rPr>
        <w:t>202</w:t>
      </w:r>
      <w:r>
        <w:rPr>
          <w:rFonts w:hint="eastAsia" w:ascii="方正小标宋简体" w:hAnsi="方正小标宋简体" w:eastAsia="方正小标宋简体" w:cs="方正小标宋简体"/>
          <w:bCs/>
          <w:color w:val="auto"/>
          <w:sz w:val="36"/>
          <w:szCs w:val="36"/>
          <w:highlight w:val="none"/>
          <w:lang w:val="en-US" w:eastAsia="zh-CN"/>
        </w:rPr>
        <w:t>6</w:t>
      </w:r>
      <w:r>
        <w:rPr>
          <w:rFonts w:hint="eastAsia" w:ascii="方正小标宋简体" w:hAnsi="方正小标宋简体" w:eastAsia="方正小标宋简体" w:cs="方正小标宋简体"/>
          <w:bCs/>
          <w:color w:val="auto"/>
          <w:sz w:val="36"/>
          <w:szCs w:val="36"/>
          <w:highlight w:val="none"/>
        </w:rPr>
        <w:t>年</w:t>
      </w:r>
      <w:r>
        <w:rPr>
          <w:rFonts w:hint="eastAsia" w:ascii="方正小标宋简体" w:hAnsi="方正小标宋简体" w:eastAsia="方正小标宋简体" w:cs="方正小标宋简体"/>
          <w:bCs/>
          <w:color w:val="auto"/>
          <w:sz w:val="36"/>
          <w:szCs w:val="36"/>
          <w:highlight w:val="none"/>
          <w:lang w:val="en-US" w:eastAsia="zh-CN"/>
        </w:rPr>
        <w:t>4</w:t>
      </w:r>
      <w:r>
        <w:rPr>
          <w:rFonts w:hint="eastAsia" w:ascii="方正小标宋简体" w:hAnsi="方正小标宋简体" w:eastAsia="方正小标宋简体" w:cs="方正小标宋简体"/>
          <w:bCs/>
          <w:color w:val="auto"/>
          <w:sz w:val="36"/>
          <w:szCs w:val="36"/>
          <w:highlight w:val="none"/>
        </w:rPr>
        <w:t>月</w:t>
      </w:r>
      <w:r>
        <w:rPr>
          <w:rFonts w:hint="eastAsia"/>
          <w:color w:val="auto"/>
          <w:highlight w:val="none"/>
        </w:rPr>
        <w:t xml:space="preserve">    </w:t>
      </w:r>
    </w:p>
    <w:p w14:paraId="55FF0A83">
      <w:pPr>
        <w:rPr>
          <w:color w:val="auto"/>
          <w:highlight w:val="none"/>
        </w:rPr>
      </w:pPr>
    </w:p>
    <w:p w14:paraId="35D60A47">
      <w:pPr>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color w:val="auto"/>
          <w:highlight w:val="none"/>
        </w:rPr>
        <w:br w:type="page"/>
      </w:r>
    </w:p>
    <w:p w14:paraId="4015A4DB">
      <w:pPr>
        <w:numPr>
          <w:ilvl w:val="0"/>
          <w:numId w:val="2"/>
        </w:numPr>
        <w:spacing w:line="578" w:lineRule="exact"/>
        <w:ind w:firstLine="0"/>
        <w:jc w:val="center"/>
        <w:outlineLvl w:val="0"/>
        <w:rPr>
          <w:rFonts w:ascii="黑体" w:hAnsi="黑体" w:eastAsia="黑体" w:cs="黑体"/>
          <w:color w:val="auto"/>
          <w:sz w:val="36"/>
          <w:szCs w:val="36"/>
          <w:highlight w:val="none"/>
        </w:rPr>
      </w:pPr>
      <w:r>
        <w:rPr>
          <w:rFonts w:hint="eastAsia" w:ascii="黑体" w:hAnsi="黑体" w:eastAsia="黑体" w:cs="黑体"/>
          <w:color w:val="auto"/>
          <w:sz w:val="36"/>
          <w:szCs w:val="36"/>
          <w:highlight w:val="none"/>
          <w:lang w:val="en-US" w:eastAsia="zh-CN"/>
        </w:rPr>
        <w:t>响应人须知</w:t>
      </w:r>
    </w:p>
    <w:p w14:paraId="436BB21D">
      <w:pPr>
        <w:rPr>
          <w:color w:val="auto"/>
          <w:highlight w:val="none"/>
        </w:rPr>
      </w:pPr>
    </w:p>
    <w:p w14:paraId="592FC6BF">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eastAsia="zh-CN"/>
        </w:rPr>
        <w:t>为</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做好海口市金融控股集团有限公司</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发债工作</w:t>
      </w:r>
      <w:r>
        <w:rPr>
          <w:rFonts w:hint="eastAsia" w:ascii="仿宋" w:hAnsi="仿宋" w:eastAsia="仿宋" w:cs="仿宋"/>
          <w:color w:val="auto"/>
          <w:sz w:val="32"/>
          <w:szCs w:val="32"/>
          <w:highlight w:val="none"/>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我司拟采购</w:t>
      </w: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信用评级服务</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现向社会公开邀请符合参选条件的信用评级机构参加，有关事项公告如下</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p>
    <w:p w14:paraId="3DA244C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18" w:name="_Toc10337"/>
      <w:bookmarkStart w:id="19" w:name="OLE_LINK12"/>
      <w:r>
        <w:rPr>
          <w:rFonts w:hint="eastAsia" w:ascii="仿宋" w:hAnsi="仿宋" w:eastAsia="仿宋" w:cs="仿宋"/>
          <w:b/>
          <w:bCs/>
          <w:color w:val="auto"/>
          <w:sz w:val="32"/>
          <w:szCs w:val="32"/>
          <w:highlight w:val="none"/>
          <w:lang w:val="en-US" w:eastAsia="zh-CN"/>
        </w:rPr>
        <w:t>一、项目基本情况</w:t>
      </w:r>
      <w:bookmarkEnd w:id="18"/>
    </w:p>
    <w:p w14:paraId="235D46C6">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（一）项目名称：海口市金融控股集团有限公司企业</w:t>
      </w:r>
      <w:r>
        <w:rPr>
          <w:rFonts w:hint="eastAsia" w:ascii="仿宋" w:hAnsi="仿宋" w:eastAsia="仿宋" w:cs="仿宋"/>
          <w:color w:val="auto"/>
          <w:kern w:val="2"/>
          <w:sz w:val="32"/>
          <w:szCs w:val="32"/>
          <w:highlight w:val="none"/>
          <w:u w:val="none"/>
          <w:shd w:val="clear" w:color="auto" w:fill="auto"/>
          <w:lang w:val="en-US" w:eastAsia="zh-CN"/>
          <w14:ligatures w14:val="none"/>
        </w:rPr>
        <w:t>主体评级服务采购项目</w:t>
      </w:r>
    </w:p>
    <w:p w14:paraId="34F5F0F8">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（二）项目地点：海南省海口市</w:t>
      </w:r>
    </w:p>
    <w:p w14:paraId="4A2D9D17">
      <w:pPr>
        <w:widowControl w:val="0"/>
        <w:adjustRightInd w:val="0"/>
        <w:snapToGrid w:val="0"/>
        <w:spacing w:after="0" w:afterLines="0" w:line="578" w:lineRule="exact"/>
        <w:ind w:firstLine="640" w:firstLineChars="200"/>
        <w:jc w:val="both"/>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（三）</w:t>
      </w:r>
      <w:r>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t>项目内容和周期</w:t>
      </w:r>
    </w:p>
    <w:p w14:paraId="29230736">
      <w:pPr>
        <w:widowControl w:val="0"/>
        <w:adjustRightInd w:val="0"/>
        <w:snapToGrid w:val="0"/>
        <w:spacing w:after="0" w:afterLines="0" w:line="578" w:lineRule="exact"/>
        <w:ind w:firstLine="640" w:firstLineChars="20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服务项目：主体评级</w:t>
      </w:r>
    </w:p>
    <w:p w14:paraId="358B3254">
      <w:pPr>
        <w:widowControl w:val="0"/>
        <w:adjustRightInd w:val="0"/>
        <w:snapToGrid w:val="0"/>
        <w:spacing w:after="0" w:afterLines="0" w:line="578" w:lineRule="exact"/>
        <w:ind w:firstLine="640" w:firstLineChars="20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服务周期：三年</w:t>
      </w:r>
    </w:p>
    <w:p w14:paraId="3615AB70">
      <w:pPr>
        <w:widowControl w:val="0"/>
        <w:adjustRightInd w:val="0"/>
        <w:snapToGrid w:val="0"/>
        <w:spacing w:after="0" w:afterLines="0" w:line="578" w:lineRule="exact"/>
        <w:ind w:firstLine="640" w:firstLineChars="20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内容说明：每年出具1次主体评级报告</w:t>
      </w:r>
    </w:p>
    <w:p w14:paraId="4A2591CA">
      <w:pPr>
        <w:widowControl w:val="0"/>
        <w:adjustRightInd w:val="0"/>
        <w:snapToGrid w:val="0"/>
        <w:spacing w:after="0" w:afterLines="0" w:line="578" w:lineRule="exact"/>
        <w:ind w:firstLine="640" w:firstLineChars="200"/>
        <w:jc w:val="both"/>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备注：合同按年签订，集团有权单方面决定主体评级次数、有权单方面决定是否续约</w:t>
      </w:r>
    </w:p>
    <w:p w14:paraId="7000AEF8">
      <w:pPr>
        <w:widowControl w:val="0"/>
        <w:adjustRightInd w:val="0"/>
        <w:snapToGrid w:val="0"/>
        <w:spacing w:after="0" w:afterLines="0" w:line="578"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（四）</w:t>
      </w:r>
      <w:r>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t>采购预算</w:t>
      </w: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：最高控制价为25万元/年（含税），服务周期三年，总价75万元，总价和单价同时限价。</w:t>
      </w:r>
      <w:r>
        <w:rPr>
          <w:rFonts w:hint="default" w:ascii="Times New Roman" w:hAnsi="Times New Roman" w:eastAsia="仿宋_GB2312" w:cs="Times New Roman"/>
          <w:color w:val="auto"/>
          <w:sz w:val="32"/>
          <w:szCs w:val="32"/>
          <w:highlight w:val="none"/>
          <w:rtl w:val="0"/>
          <w:lang w:val="en-US" w:eastAsia="zh-CN"/>
        </w:rPr>
        <w:t>供应商的报价（含税）不能高于每个服务项目的最高控制价，否则将被视为无效报价，按废标处理。</w:t>
      </w:r>
    </w:p>
    <w:p w14:paraId="59638DE9">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0" w:name="_Toc21709"/>
      <w:r>
        <w:rPr>
          <w:rFonts w:hint="eastAsia" w:ascii="仿宋" w:hAnsi="仿宋" w:eastAsia="仿宋" w:cs="仿宋"/>
          <w:b/>
          <w:bCs/>
          <w:color w:val="auto"/>
          <w:sz w:val="32"/>
          <w:szCs w:val="32"/>
          <w:highlight w:val="none"/>
          <w:lang w:val="en-US" w:eastAsia="zh-CN"/>
        </w:rPr>
        <w:t>二、响应人资格要求</w:t>
      </w:r>
      <w:bookmarkEnd w:id="20"/>
    </w:p>
    <w:p w14:paraId="3C910749">
      <w:pPr>
        <w:ind w:firstLine="640" w:firstLineChars="200"/>
        <w:rPr>
          <w:rFonts w:hint="eastAsia" w:ascii="Times New Roman" w:hAnsi="Times New Roman" w:eastAsia="仿宋_GB2312" w:cs="Times New Roman"/>
          <w:color w:val="auto"/>
          <w:sz w:val="32"/>
          <w:szCs w:val="32"/>
          <w:highlight w:val="none"/>
          <w:rtl w:val="0"/>
          <w:lang w:val="en-US" w:eastAsia="zh-CN"/>
        </w:rPr>
      </w:pPr>
      <w:r>
        <w:rPr>
          <w:rFonts w:hint="eastAsia" w:ascii="Times New Roman" w:hAnsi="Times New Roman" w:eastAsia="仿宋_GB2312" w:cs="Times New Roman"/>
          <w:color w:val="auto"/>
          <w:sz w:val="32"/>
          <w:szCs w:val="32"/>
          <w:highlight w:val="none"/>
          <w:rtl w:val="0"/>
          <w:lang w:val="en-US" w:eastAsia="zh-CN"/>
        </w:rPr>
        <w:t>参选响应人需同时满足以下条件，否则不得进入评分环节：</w:t>
      </w:r>
    </w:p>
    <w:p w14:paraId="7FB56213">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1.资质要求：具有独立法人资格并依法取得企业法人营业执照，同时具有中国人民银行、中国证监会和中国银行间市场交易商协</w:t>
      </w:r>
      <w:r>
        <w:rPr>
          <w:rFonts w:hint="eastAsia" w:ascii="Times New Roman" w:hAnsi="Times New Roman" w:eastAsia="仿宋_GB2312" w:cs="Times New Roman"/>
          <w:color w:val="auto"/>
          <w:sz w:val="32"/>
          <w:szCs w:val="32"/>
          <w:highlight w:val="none"/>
          <w:rtl w:val="0"/>
          <w:lang w:val="en-US" w:eastAsia="zh-CN"/>
        </w:rPr>
        <w:t>会</w:t>
      </w:r>
      <w:r>
        <w:rPr>
          <w:rFonts w:hint="default" w:ascii="Times New Roman" w:hAnsi="Times New Roman" w:eastAsia="仿宋_GB2312" w:cs="Times New Roman"/>
          <w:color w:val="auto"/>
          <w:sz w:val="32"/>
          <w:szCs w:val="32"/>
          <w:highlight w:val="none"/>
          <w:rtl w:val="0"/>
          <w:lang w:val="en-US" w:eastAsia="zh-CN"/>
        </w:rPr>
        <w:t>等相关部门颁发或认可的信用评级业务资质（提供资质证书复印件并加盖公章）；</w:t>
      </w:r>
    </w:p>
    <w:p w14:paraId="6D5288FF">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2.监管合规：</w:t>
      </w:r>
      <w:r>
        <w:rPr>
          <w:rFonts w:hint="eastAsia" w:ascii="Times New Roman" w:hAnsi="Times New Roman" w:eastAsia="仿宋_GB2312" w:cs="Times New Roman"/>
          <w:color w:val="auto"/>
          <w:sz w:val="32"/>
          <w:szCs w:val="32"/>
          <w:highlight w:val="none"/>
          <w:rtl w:val="0"/>
          <w:lang w:val="en-US" w:eastAsia="zh-CN"/>
        </w:rPr>
        <w:t>近3年（自2023年3月1日起至本项目响应文件提交截止之日止）</w:t>
      </w:r>
      <w:r>
        <w:rPr>
          <w:rFonts w:hint="default" w:ascii="Times New Roman" w:hAnsi="Times New Roman" w:eastAsia="仿宋_GB2312" w:cs="Times New Roman"/>
          <w:color w:val="auto"/>
          <w:sz w:val="32"/>
          <w:szCs w:val="32"/>
          <w:highlight w:val="none"/>
          <w:rtl w:val="0"/>
          <w:lang w:val="en-US" w:eastAsia="zh-CN"/>
        </w:rPr>
        <w:t>在经营活动中无</w:t>
      </w:r>
      <w:r>
        <w:rPr>
          <w:rFonts w:hint="eastAsia" w:ascii="Times New Roman" w:hAnsi="Times New Roman" w:eastAsia="仿宋_GB2312" w:cs="Times New Roman"/>
          <w:color w:val="auto"/>
          <w:sz w:val="32"/>
          <w:szCs w:val="32"/>
          <w:highlight w:val="none"/>
          <w:rtl w:val="0"/>
          <w:lang w:val="en-US" w:eastAsia="zh-CN"/>
        </w:rPr>
        <w:t>以下</w:t>
      </w:r>
      <w:r>
        <w:rPr>
          <w:rFonts w:hint="default" w:ascii="Times New Roman" w:hAnsi="Times New Roman" w:eastAsia="仿宋_GB2312" w:cs="Times New Roman"/>
          <w:color w:val="auto"/>
          <w:sz w:val="32"/>
          <w:szCs w:val="32"/>
          <w:highlight w:val="none"/>
          <w:rtl w:val="0"/>
          <w:lang w:val="en-US" w:eastAsia="zh-CN"/>
        </w:rPr>
        <w:t>不良行为记录：没有处于被责令停业、投标资格被取消、财产被接管、冻结、破产状态，在经营活动中没有重大违法记录（声明格式</w:t>
      </w:r>
      <w:r>
        <w:rPr>
          <w:rFonts w:hint="eastAsia" w:ascii="Times New Roman" w:hAnsi="Times New Roman" w:eastAsia="仿宋_GB2312" w:cs="Times New Roman"/>
          <w:color w:val="auto"/>
          <w:sz w:val="32"/>
          <w:szCs w:val="32"/>
          <w:highlight w:val="none"/>
          <w:rtl w:val="0"/>
          <w:lang w:val="en-US" w:eastAsia="zh-CN"/>
        </w:rPr>
        <w:t>见附件4</w:t>
      </w:r>
      <w:r>
        <w:rPr>
          <w:rFonts w:hint="default" w:ascii="Times New Roman" w:hAnsi="Times New Roman" w:eastAsia="仿宋_GB2312" w:cs="Times New Roman"/>
          <w:color w:val="auto"/>
          <w:sz w:val="32"/>
          <w:szCs w:val="32"/>
          <w:highlight w:val="none"/>
          <w:rtl w:val="0"/>
          <w:lang w:val="en-US" w:eastAsia="zh-CN"/>
        </w:rPr>
        <w:t>，加盖公章，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p>
    <w:p w14:paraId="2DC2443C">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3.信用状况：在“信用中国”网站（www.creditchina.gov.cn）未被列入失信被执行人、重大税收违法失信主体、政府采购严重违法失信记录名单；在中国政府采购网（www.ccgp.gov.cn）未被列入政府采购严重违法失信行为记录名单、政府采购代理机构不良行为记录名单；在中国执行网（http://zxgk.court.gov.cn/shixin/）未被列入失信被执行人名单（提供网站查询截图并加盖公章）；</w:t>
      </w:r>
    </w:p>
    <w:p w14:paraId="391999B1">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4.关联关系：</w:t>
      </w:r>
      <w:r>
        <w:rPr>
          <w:rFonts w:hint="eastAsia" w:ascii="Times New Roman" w:hAnsi="Times New Roman" w:eastAsia="仿宋_GB2312" w:cs="Times New Roman"/>
          <w:color w:val="auto"/>
          <w:sz w:val="32"/>
          <w:szCs w:val="32"/>
          <w:highlight w:val="none"/>
          <w:rtl w:val="0"/>
          <w:lang w:val="en-US" w:eastAsia="zh-CN"/>
        </w:rPr>
        <w:t>法定代表人</w:t>
      </w:r>
      <w:r>
        <w:rPr>
          <w:rFonts w:hint="default" w:ascii="Times New Roman" w:hAnsi="Times New Roman" w:eastAsia="仿宋_GB2312" w:cs="Times New Roman"/>
          <w:color w:val="auto"/>
          <w:sz w:val="32"/>
          <w:szCs w:val="32"/>
          <w:highlight w:val="none"/>
          <w:rtl w:val="0"/>
          <w:lang w:val="en-US" w:eastAsia="zh-CN"/>
        </w:rPr>
        <w:t>为同一人或者存在直接控股、管理关系的不同供应商，不得同时参加本项目的</w:t>
      </w:r>
      <w:r>
        <w:rPr>
          <w:rFonts w:hint="eastAsia" w:ascii="Times New Roman" w:hAnsi="Times New Roman" w:eastAsia="仿宋_GB2312" w:cs="Times New Roman"/>
          <w:color w:val="auto"/>
          <w:sz w:val="32"/>
          <w:szCs w:val="32"/>
          <w:highlight w:val="none"/>
          <w:rtl w:val="0"/>
          <w:lang w:val="en-US" w:eastAsia="zh-CN"/>
        </w:rPr>
        <w:t>比</w:t>
      </w:r>
      <w:r>
        <w:rPr>
          <w:rFonts w:hint="default" w:ascii="Times New Roman" w:hAnsi="Times New Roman" w:eastAsia="仿宋_GB2312" w:cs="Times New Roman"/>
          <w:color w:val="auto"/>
          <w:sz w:val="32"/>
          <w:szCs w:val="32"/>
          <w:highlight w:val="none"/>
          <w:rtl w:val="0"/>
          <w:lang w:val="en-US" w:eastAsia="zh-CN"/>
        </w:rPr>
        <w:t>选（声明格式自拟，加盖公章，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p>
    <w:p w14:paraId="246F37D9">
      <w:pPr>
        <w:ind w:firstLine="640" w:firstLineChars="200"/>
        <w:rPr>
          <w:rFonts w:hint="eastAsia"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5.独立性：本项目不接受联合体投标，不得转包和分包（声明格式自拟，加盖公章，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r>
        <w:rPr>
          <w:rFonts w:hint="eastAsia" w:ascii="Times New Roman" w:hAnsi="Times New Roman" w:eastAsia="仿宋_GB2312" w:cs="Times New Roman"/>
          <w:color w:val="auto"/>
          <w:sz w:val="32"/>
          <w:szCs w:val="32"/>
          <w:highlight w:val="none"/>
          <w:rtl w:val="0"/>
          <w:lang w:val="en-US" w:eastAsia="zh-CN"/>
        </w:rPr>
        <w:t>。</w:t>
      </w:r>
    </w:p>
    <w:p w14:paraId="6E6CCF9F">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1" w:name="_Toc13588"/>
      <w:r>
        <w:rPr>
          <w:rFonts w:hint="eastAsia" w:ascii="仿宋" w:hAnsi="仿宋" w:eastAsia="仿宋" w:cs="仿宋"/>
          <w:b/>
          <w:bCs/>
          <w:color w:val="auto"/>
          <w:sz w:val="32"/>
          <w:szCs w:val="32"/>
          <w:highlight w:val="none"/>
          <w:lang w:val="en-US" w:eastAsia="zh-CN"/>
        </w:rPr>
        <w:t>三、比选文件获取</w:t>
      </w:r>
      <w:bookmarkEnd w:id="21"/>
    </w:p>
    <w:p w14:paraId="44175150">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1.凡有意参加比选者请在我司官网（http://www.hksjkjt.com/）上自行下载比选文件。</w:t>
      </w:r>
      <w:bookmarkStart w:id="51" w:name="_GoBack"/>
      <w:bookmarkEnd w:id="51"/>
    </w:p>
    <w:p w14:paraId="6558D52E">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2.响应人若对比选文件有任何疑问,应于2026年5月9日12:00时(北京时间)前(含)以不署名的形式发送邮件至邮箱(sdbgs@haikou.gov.cn),疑问不得透露单位和个人信息,不得出现响应人单位名称。</w:t>
      </w:r>
    </w:p>
    <w:p w14:paraId="1FC577DF">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3.有关项目的公告、答疑文件、比选文件的修改以及澄清等信息将在我司官网上发布,敬请获得比选文件的所有响应人关注,恕不另行通知,如有遗漏比选人概不负责。</w:t>
      </w:r>
    </w:p>
    <w:p w14:paraId="4F4AD87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2" w:name="_Toc21711"/>
      <w:r>
        <w:rPr>
          <w:rFonts w:hint="eastAsia" w:ascii="仿宋" w:hAnsi="仿宋" w:eastAsia="仿宋" w:cs="仿宋"/>
          <w:b/>
          <w:bCs/>
          <w:color w:val="auto"/>
          <w:sz w:val="32"/>
          <w:szCs w:val="32"/>
          <w:highlight w:val="none"/>
          <w:lang w:val="en-US" w:eastAsia="zh-CN"/>
        </w:rPr>
        <w:t>四、响应文件递交</w:t>
      </w:r>
      <w:bookmarkEnd w:id="22"/>
    </w:p>
    <w:p w14:paraId="02C83B07">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23"/>
          <w:sz w:val="32"/>
          <w:szCs w:val="32"/>
          <w:u w:val="none"/>
          <w:shd w:val="clear" w:fill="FFFFFF"/>
          <w:lang w:val="en-US" w:eastAsia="zh-CN"/>
        </w:rPr>
      </w:pPr>
      <w:r>
        <w:rPr>
          <w:rFonts w:hint="eastAsia" w:ascii="仿宋" w:hAnsi="仿宋" w:eastAsia="仿宋" w:cs="仿宋"/>
          <w:color w:val="auto"/>
          <w:kern w:val="2"/>
          <w:sz w:val="32"/>
          <w:szCs w:val="32"/>
          <w:highlight w:val="none"/>
          <w:lang w:val="zh-TW" w:eastAsia="zh-CN" w:bidi="ar-SA"/>
          <w14:ligatures w14:val="standardContextual"/>
        </w:rPr>
        <w:t>1</w:t>
      </w:r>
      <w:r>
        <w:rPr>
          <w:rFonts w:hint="eastAsia" w:ascii="仿宋" w:hAnsi="仿宋" w:eastAsia="仿宋" w:cs="仿宋"/>
          <w:color w:val="auto"/>
          <w:kern w:val="2"/>
          <w:sz w:val="32"/>
          <w:szCs w:val="32"/>
          <w:highlight w:val="none"/>
          <w:lang w:val="en-US" w:eastAsia="zh-CN" w:bidi="ar-SA"/>
          <w14:ligatures w14:val="standardContextual"/>
        </w:rPr>
        <w:t>.</w:t>
      </w:r>
      <w:r>
        <w:rPr>
          <w:rFonts w:hint="default" w:ascii="仿宋_GB2312" w:hAnsi="仿宋_GB2312" w:eastAsia="仿宋_GB2312" w:cs="仿宋_GB2312"/>
          <w:i w:val="0"/>
          <w:iCs w:val="0"/>
          <w:caps w:val="0"/>
          <w:color w:val="auto"/>
          <w:spacing w:val="23"/>
          <w:sz w:val="32"/>
          <w:szCs w:val="32"/>
          <w:u w:val="none"/>
          <w:shd w:val="clear" w:fill="FFFFFF"/>
          <w:lang w:val="en-US" w:eastAsia="zh-CN"/>
        </w:rPr>
        <w:t>送达截止时间：</w:t>
      </w:r>
      <w:r>
        <w:rPr>
          <w:rFonts w:hint="eastAsia" w:ascii="仿宋_GB2312" w:hAnsi="仿宋_GB2312" w:eastAsia="仿宋_GB2312" w:cs="仿宋_GB2312"/>
          <w:i w:val="0"/>
          <w:iCs w:val="0"/>
          <w:caps w:val="0"/>
          <w:color w:val="auto"/>
          <w:spacing w:val="23"/>
          <w:sz w:val="32"/>
          <w:szCs w:val="32"/>
          <w:u w:val="none"/>
          <w:shd w:val="clear" w:fill="FFFFFF"/>
          <w:lang w:val="en-US" w:eastAsia="zh-CN"/>
        </w:rPr>
        <w:t>2026年5月11日9点30分</w:t>
      </w:r>
      <w:r>
        <w:rPr>
          <w:rFonts w:hint="eastAsia" w:ascii="仿宋_GB2312" w:hAnsi="仿宋_GB2312" w:eastAsia="仿宋_GB2312" w:cs="仿宋_GB2312"/>
          <w:i w:val="0"/>
          <w:iCs w:val="0"/>
          <w:caps w:val="0"/>
          <w:color w:val="auto"/>
          <w:spacing w:val="23"/>
          <w:sz w:val="32"/>
          <w:szCs w:val="32"/>
          <w:u w:val="none"/>
          <w:shd w:val="clear" w:fill="FFFFFF"/>
          <w:lang w:val="zh-TW" w:eastAsia="zh-CN"/>
        </w:rPr>
        <w:t>（</w:t>
      </w:r>
      <w:r>
        <w:rPr>
          <w:rFonts w:hint="eastAsia" w:ascii="仿宋_GB2312" w:hAnsi="仿宋_GB2312" w:eastAsia="仿宋_GB2312" w:cs="仿宋_GB2312"/>
          <w:i w:val="0"/>
          <w:iCs w:val="0"/>
          <w:caps w:val="0"/>
          <w:color w:val="auto"/>
          <w:spacing w:val="23"/>
          <w:sz w:val="32"/>
          <w:szCs w:val="32"/>
          <w:u w:val="none"/>
          <w:shd w:val="clear" w:fill="FFFFFF"/>
          <w:lang w:val="en-US" w:eastAsia="zh-CN"/>
        </w:rPr>
        <w:t>北京时间，</w:t>
      </w:r>
      <w:r>
        <w:rPr>
          <w:rFonts w:hint="eastAsia" w:ascii="仿宋_GB2312" w:hAnsi="仿宋_GB2312" w:eastAsia="仿宋_GB2312" w:cs="仿宋_GB2312"/>
          <w:i w:val="0"/>
          <w:iCs w:val="0"/>
          <w:caps w:val="0"/>
          <w:color w:val="auto"/>
          <w:spacing w:val="23"/>
          <w:sz w:val="32"/>
          <w:szCs w:val="32"/>
          <w:u w:val="none"/>
          <w:shd w:val="clear" w:fill="FFFFFF"/>
          <w:lang w:val="zh-TW" w:eastAsia="zh-CN"/>
        </w:rPr>
        <w:t>送达日指</w:t>
      </w:r>
      <w:r>
        <w:rPr>
          <w:rFonts w:hint="eastAsia" w:ascii="仿宋_GB2312" w:hAnsi="仿宋_GB2312" w:eastAsia="仿宋_GB2312" w:cs="仿宋_GB2312"/>
          <w:i w:val="0"/>
          <w:iCs w:val="0"/>
          <w:caps w:val="0"/>
          <w:color w:val="auto"/>
          <w:spacing w:val="23"/>
          <w:sz w:val="32"/>
          <w:szCs w:val="32"/>
          <w:u w:val="none"/>
          <w:shd w:val="clear" w:fill="FFFFFF"/>
          <w:lang w:val="en-US" w:eastAsia="zh-CN"/>
        </w:rPr>
        <w:t>我司</w:t>
      </w:r>
      <w:r>
        <w:rPr>
          <w:rFonts w:hint="eastAsia" w:ascii="仿宋_GB2312" w:hAnsi="仿宋_GB2312" w:eastAsia="仿宋_GB2312" w:cs="仿宋_GB2312"/>
          <w:i w:val="0"/>
          <w:iCs w:val="0"/>
          <w:caps w:val="0"/>
          <w:color w:val="auto"/>
          <w:spacing w:val="23"/>
          <w:sz w:val="32"/>
          <w:szCs w:val="32"/>
          <w:u w:val="none"/>
          <w:shd w:val="clear" w:fill="FFFFFF"/>
          <w:lang w:val="zh-TW" w:eastAsia="zh-CN"/>
        </w:rPr>
        <w:t>收到</w:t>
      </w:r>
      <w:r>
        <w:rPr>
          <w:rFonts w:hint="eastAsia" w:ascii="仿宋_GB2312" w:hAnsi="仿宋_GB2312" w:eastAsia="仿宋_GB2312" w:cs="仿宋_GB2312"/>
          <w:i w:val="0"/>
          <w:iCs w:val="0"/>
          <w:caps w:val="0"/>
          <w:color w:val="auto"/>
          <w:spacing w:val="23"/>
          <w:sz w:val="32"/>
          <w:szCs w:val="32"/>
          <w:u w:val="none"/>
          <w:shd w:val="clear" w:fill="FFFFFF"/>
          <w:lang w:val="en-US" w:eastAsia="zh-CN"/>
        </w:rPr>
        <w:t>响应</w:t>
      </w:r>
      <w:r>
        <w:rPr>
          <w:rFonts w:hint="eastAsia" w:ascii="仿宋_GB2312" w:hAnsi="仿宋_GB2312" w:eastAsia="仿宋_GB2312" w:cs="仿宋_GB2312"/>
          <w:i w:val="0"/>
          <w:iCs w:val="0"/>
          <w:caps w:val="0"/>
          <w:color w:val="auto"/>
          <w:spacing w:val="23"/>
          <w:sz w:val="32"/>
          <w:szCs w:val="32"/>
          <w:u w:val="none"/>
          <w:shd w:val="clear" w:fill="FFFFFF"/>
          <w:lang w:val="zh-TW" w:eastAsia="zh-CN"/>
        </w:rPr>
        <w:t>文件之日）。</w:t>
      </w:r>
    </w:p>
    <w:p w14:paraId="2FBC3FE9">
      <w:pPr>
        <w:pStyle w:val="25"/>
        <w:numPr>
          <w:ilvl w:val="0"/>
          <w:numId w:val="0"/>
        </w:numPr>
        <w:spacing w:line="580" w:lineRule="exact"/>
        <w:ind w:firstLine="640" w:firstLineChars="200"/>
        <w:rPr>
          <w:rFonts w:hint="eastAsia" w:ascii="仿宋" w:hAnsi="仿宋" w:eastAsia="仿宋" w:cs="仿宋"/>
          <w:color w:val="auto"/>
          <w:kern w:val="2"/>
          <w:sz w:val="32"/>
          <w:szCs w:val="32"/>
          <w:highlight w:val="none"/>
          <w:lang w:val="zh-TW"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2.</w:t>
      </w:r>
      <w:r>
        <w:rPr>
          <w:rFonts w:hint="eastAsia" w:ascii="仿宋" w:hAnsi="仿宋" w:eastAsia="仿宋" w:cs="仿宋"/>
          <w:color w:val="auto"/>
          <w:kern w:val="2"/>
          <w:sz w:val="32"/>
          <w:szCs w:val="32"/>
          <w:highlight w:val="none"/>
          <w:lang w:val="zh-TW" w:eastAsia="zh-CN" w:bidi="ar-SA"/>
          <w14:ligatures w14:val="standardContextual"/>
        </w:rPr>
        <w:t>递交地点:</w:t>
      </w:r>
      <w:r>
        <w:rPr>
          <w:rFonts w:hint="eastAsia" w:ascii="仿宋" w:hAnsi="仿宋" w:eastAsia="仿宋" w:cs="仿宋"/>
          <w:b/>
          <w:bCs/>
          <w:color w:val="auto"/>
          <w:kern w:val="2"/>
          <w:sz w:val="32"/>
          <w:szCs w:val="32"/>
          <w:highlight w:val="none"/>
          <w:lang w:val="en-US" w:eastAsia="zh-CN" w:bidi="ar-SA"/>
          <w14:ligatures w14:val="standardContextual"/>
        </w:rPr>
        <w:t>海南省海口市龙华区文华东路9号海口金控大厦609室</w:t>
      </w:r>
      <w:r>
        <w:rPr>
          <w:rFonts w:hint="eastAsia" w:ascii="仿宋" w:hAnsi="仿宋" w:eastAsia="仿宋" w:cs="仿宋"/>
          <w:b/>
          <w:bCs/>
          <w:color w:val="auto"/>
          <w:kern w:val="2"/>
          <w:sz w:val="32"/>
          <w:szCs w:val="32"/>
          <w:highlight w:val="none"/>
          <w:lang w:val="zh-TW" w:eastAsia="zh-CN" w:bidi="ar-SA"/>
          <w14:ligatures w14:val="standardContextual"/>
        </w:rPr>
        <w:t>。</w:t>
      </w:r>
    </w:p>
    <w:p w14:paraId="0D8EA4CE">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3.响应文件要求纸质版，</w:t>
      </w:r>
      <w:r>
        <w:rPr>
          <w:rFonts w:hint="eastAsia" w:ascii="Times New Roman" w:hAnsi="Times New Roman" w:eastAsia="仿宋_GB2312" w:cs="Times New Roman"/>
          <w:i w:val="0"/>
          <w:iCs w:val="0"/>
          <w:caps w:val="0"/>
          <w:color w:val="auto"/>
          <w:spacing w:val="0"/>
          <w:kern w:val="0"/>
          <w:sz w:val="32"/>
          <w:szCs w:val="32"/>
          <w:shd w:val="clear" w:color="auto" w:fill="auto"/>
          <w:vertAlign w:val="baseline"/>
          <w:lang w:val="en-US" w:eastAsia="zh-CN" w:bidi="ar-SA"/>
        </w:rPr>
        <w:t>以当面、邮寄等方式递交，</w:t>
      </w:r>
      <w:r>
        <w:rPr>
          <w:rFonts w:hint="eastAsia" w:ascii="仿宋" w:hAnsi="仿宋" w:eastAsia="仿宋" w:cs="仿宋"/>
          <w:color w:val="auto"/>
          <w:sz w:val="32"/>
          <w:szCs w:val="32"/>
          <w:highlight w:val="none"/>
        </w:rPr>
        <w:t>概不接受通过电报、电话、传真和</w:t>
      </w:r>
      <w:r>
        <w:rPr>
          <w:rFonts w:hint="eastAsia" w:ascii="仿宋" w:hAnsi="仿宋" w:eastAsia="仿宋" w:cs="仿宋"/>
          <w:color w:val="auto"/>
          <w:sz w:val="32"/>
          <w:szCs w:val="32"/>
          <w:highlight w:val="none"/>
          <w:lang w:val="en-US" w:eastAsia="zh-CN"/>
        </w:rPr>
        <w:t>电子</w:t>
      </w:r>
      <w:r>
        <w:rPr>
          <w:rFonts w:hint="eastAsia" w:ascii="仿宋" w:hAnsi="仿宋" w:eastAsia="仿宋" w:cs="仿宋"/>
          <w:color w:val="auto"/>
          <w:sz w:val="32"/>
          <w:szCs w:val="32"/>
          <w:highlight w:val="none"/>
        </w:rPr>
        <w:t>邮件方式传递的比选文件。</w:t>
      </w:r>
    </w:p>
    <w:p w14:paraId="15283861">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4.</w:t>
      </w:r>
      <w:r>
        <w:rPr>
          <w:rFonts w:hint="eastAsia" w:ascii="仿宋" w:hAnsi="仿宋" w:eastAsia="仿宋" w:cs="仿宋"/>
          <w:color w:val="auto"/>
          <w:kern w:val="2"/>
          <w:sz w:val="32"/>
          <w:szCs w:val="32"/>
          <w:highlight w:val="none"/>
          <w:lang w:val="zh-TW" w:eastAsia="zh-CN" w:bidi="ar-SA"/>
          <w14:ligatures w14:val="standardContextual"/>
        </w:rPr>
        <w:t>逾期送达的或者未送达指定地点的</w:t>
      </w:r>
      <w:r>
        <w:rPr>
          <w:rFonts w:hint="eastAsia" w:ascii="仿宋" w:hAnsi="仿宋" w:eastAsia="仿宋" w:cs="仿宋"/>
          <w:color w:val="auto"/>
          <w:kern w:val="2"/>
          <w:sz w:val="32"/>
          <w:szCs w:val="32"/>
          <w:highlight w:val="none"/>
          <w:lang w:val="en-US" w:eastAsia="zh-CN" w:bidi="ar-SA"/>
          <w14:ligatures w14:val="standardContextual"/>
        </w:rPr>
        <w:t>响应</w:t>
      </w:r>
      <w:r>
        <w:rPr>
          <w:rFonts w:hint="eastAsia" w:ascii="仿宋" w:hAnsi="仿宋" w:eastAsia="仿宋" w:cs="仿宋"/>
          <w:color w:val="auto"/>
          <w:kern w:val="2"/>
          <w:sz w:val="32"/>
          <w:szCs w:val="32"/>
          <w:highlight w:val="none"/>
          <w:lang w:val="zh-TW" w:eastAsia="zh-CN" w:bidi="ar-SA"/>
          <w14:ligatures w14:val="standardContextual"/>
        </w:rPr>
        <w:t>文件,比选人不予受理。</w:t>
      </w:r>
    </w:p>
    <w:bookmarkEnd w:id="19"/>
    <w:p w14:paraId="67494063">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3" w:name="_Toc8283"/>
      <w:r>
        <w:rPr>
          <w:rFonts w:hint="eastAsia" w:ascii="仿宋" w:hAnsi="仿宋" w:eastAsia="仿宋" w:cs="仿宋"/>
          <w:b/>
          <w:bCs/>
          <w:color w:val="auto"/>
          <w:sz w:val="32"/>
          <w:szCs w:val="32"/>
          <w:highlight w:val="none"/>
          <w:lang w:val="en-US" w:eastAsia="zh-CN"/>
        </w:rPr>
        <w:t>五、联系方式</w:t>
      </w:r>
      <w:bookmarkEnd w:id="23"/>
    </w:p>
    <w:p w14:paraId="6E9C6E1F">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比 选 人：海口市金融控股集团有限公司</w:t>
      </w:r>
    </w:p>
    <w:p w14:paraId="7ABD1EDD">
      <w:pPr>
        <w:widowControl w:val="0"/>
        <w:numPr>
          <w:ilvl w:val="0"/>
          <w:numId w:val="0"/>
        </w:numPr>
        <w:adjustRightInd w:val="0"/>
        <w:snapToGrid w:val="0"/>
        <w:spacing w:after="0" w:line="520" w:lineRule="atLeast"/>
        <w:ind w:firstLine="640" w:firstLineChars="200"/>
        <w:jc w:val="both"/>
        <w:rPr>
          <w:rFonts w:hint="default" w:ascii="仿宋" w:hAnsi="仿宋" w:eastAsia="仿宋" w:cs="仿宋"/>
          <w:b w:val="0"/>
          <w:bCs w:val="0"/>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地    址：</w:t>
      </w:r>
      <w:r>
        <w:rPr>
          <w:rFonts w:hint="eastAsia" w:ascii="仿宋" w:hAnsi="仿宋" w:eastAsia="仿宋" w:cs="仿宋"/>
          <w:b w:val="0"/>
          <w:bCs w:val="0"/>
          <w:color w:val="auto"/>
          <w:kern w:val="2"/>
          <w:sz w:val="32"/>
          <w:szCs w:val="32"/>
          <w:highlight w:val="none"/>
          <w:lang w:val="en-US" w:eastAsia="zh-CN" w:bidi="ar-SA"/>
          <w14:ligatures w14:val="standardContextual"/>
        </w:rPr>
        <w:t>海南省海口市龙华区文华东路9号海口金控大厦609室</w:t>
      </w:r>
    </w:p>
    <w:p w14:paraId="48D16DB2">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 系 人：马国新</w:t>
      </w:r>
    </w:p>
    <w:p w14:paraId="1414A196">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联系电话：68502308</w:t>
      </w:r>
    </w:p>
    <w:p w14:paraId="78CAA390">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邮    箱：sjkjt@haikou.gov.cn</w:t>
      </w:r>
    </w:p>
    <w:p w14:paraId="0C39F9A5">
      <w:pPr>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br w:type="page"/>
      </w:r>
    </w:p>
    <w:p w14:paraId="248B98CE">
      <w:pPr>
        <w:numPr>
          <w:ilvl w:val="0"/>
          <w:numId w:val="2"/>
        </w:numPr>
        <w:spacing w:line="578" w:lineRule="exact"/>
        <w:ind w:firstLine="0"/>
        <w:jc w:val="center"/>
        <w:outlineLvl w:val="0"/>
        <w:rPr>
          <w:rFonts w:ascii="黑体" w:hAnsi="黑体" w:eastAsia="黑体" w:cs="黑体"/>
          <w:color w:val="auto"/>
          <w:sz w:val="36"/>
          <w:szCs w:val="36"/>
          <w:highlight w:val="none"/>
        </w:rPr>
      </w:pPr>
      <w:bookmarkStart w:id="24" w:name="_Toc19812"/>
      <w:r>
        <w:rPr>
          <w:rFonts w:hint="eastAsia" w:ascii="黑体" w:hAnsi="黑体" w:eastAsia="黑体" w:cs="黑体"/>
          <w:color w:val="auto"/>
          <w:sz w:val="36"/>
          <w:szCs w:val="36"/>
          <w:highlight w:val="none"/>
          <w:lang w:val="en-US" w:eastAsia="zh-CN"/>
        </w:rPr>
        <w:t>响应</w:t>
      </w:r>
      <w:r>
        <w:rPr>
          <w:rFonts w:hint="eastAsia" w:ascii="黑体" w:hAnsi="黑体" w:eastAsia="黑体" w:cs="黑体"/>
          <w:color w:val="auto"/>
          <w:sz w:val="36"/>
          <w:szCs w:val="36"/>
          <w:highlight w:val="none"/>
        </w:rPr>
        <w:t>文件</w:t>
      </w:r>
      <w:r>
        <w:rPr>
          <w:rFonts w:hint="eastAsia" w:ascii="黑体" w:hAnsi="黑体" w:eastAsia="黑体" w:cs="黑体"/>
          <w:color w:val="auto"/>
          <w:sz w:val="36"/>
          <w:szCs w:val="36"/>
          <w:highlight w:val="none"/>
          <w:lang w:val="en-US" w:eastAsia="zh-CN"/>
        </w:rPr>
        <w:t>要求</w:t>
      </w:r>
      <w:bookmarkEnd w:id="24"/>
    </w:p>
    <w:p w14:paraId="7CF4547C">
      <w:pPr>
        <w:spacing w:line="578" w:lineRule="exact"/>
        <w:ind w:firstLine="640" w:firstLineChars="200"/>
        <w:rPr>
          <w:rFonts w:hint="eastAsia" w:ascii="仿宋" w:hAnsi="仿宋" w:eastAsia="仿宋" w:cs="仿宋_GB2312"/>
          <w:color w:val="auto"/>
          <w:sz w:val="32"/>
          <w:szCs w:val="32"/>
          <w:highlight w:val="none"/>
        </w:rPr>
      </w:pPr>
    </w:p>
    <w:p w14:paraId="05FFB9CF">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5" w:name="_Toc3078"/>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w:t>
      </w:r>
      <w:r>
        <w:rPr>
          <w:rFonts w:hint="eastAsia" w:ascii="仿宋" w:hAnsi="仿宋" w:eastAsia="仿宋" w:cs="黑体"/>
          <w:bCs/>
          <w:color w:val="auto"/>
          <w:sz w:val="32"/>
          <w:szCs w:val="32"/>
          <w:highlight w:val="none"/>
          <w:lang w:val="en-US" w:eastAsia="zh-CN"/>
        </w:rPr>
        <w:t>组成</w:t>
      </w:r>
      <w:bookmarkEnd w:id="25"/>
    </w:p>
    <w:p w14:paraId="08DC4E00">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应包括以下内容</w:t>
      </w:r>
      <w:r>
        <w:rPr>
          <w:rFonts w:hint="eastAsia" w:ascii="仿宋" w:hAnsi="仿宋" w:eastAsia="仿宋" w:cs="仿宋_GB2312"/>
          <w:color w:val="auto"/>
          <w:sz w:val="32"/>
          <w:szCs w:val="32"/>
          <w:highlight w:val="none"/>
        </w:rPr>
        <w:t>：</w:t>
      </w:r>
    </w:p>
    <w:p w14:paraId="15A3136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封面</w:t>
      </w:r>
    </w:p>
    <w:p w14:paraId="5DC5D64D">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目录</w:t>
      </w:r>
    </w:p>
    <w:p w14:paraId="6CA9FA45">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文件声明函（按附件</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rPr>
        <w:t>样式）</w:t>
      </w:r>
    </w:p>
    <w:p w14:paraId="1006CC5E">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机构简介</w:t>
      </w:r>
    </w:p>
    <w:p w14:paraId="281D51FB">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资格审查材料</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按第三章评审办法第二条第（一）款《资格审查表》的要求准备</w:t>
      </w:r>
      <w:r>
        <w:rPr>
          <w:rFonts w:hint="eastAsia" w:ascii="仿宋" w:hAnsi="仿宋" w:eastAsia="仿宋" w:cs="仿宋_GB2312"/>
          <w:color w:val="auto"/>
          <w:sz w:val="32"/>
          <w:szCs w:val="32"/>
          <w:highlight w:val="none"/>
          <w:lang w:eastAsia="zh-CN"/>
        </w:rPr>
        <w:t>）</w:t>
      </w:r>
    </w:p>
    <w:p w14:paraId="20B35EEA">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法定代表人身份证明或附有法定代表人身份证明的授权委托书</w:t>
      </w:r>
    </w:p>
    <w:p w14:paraId="445B1631">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近3年（自202</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月1日起至本项目响应文件提交截止之日止）中国人民银行、中国证监会、证券业协会、交易商协会、发改委等监管机构及自律组织</w:t>
      </w:r>
      <w:r>
        <w:rPr>
          <w:rFonts w:hint="eastAsia" w:ascii="仿宋" w:hAnsi="仿宋" w:eastAsia="仿宋" w:cs="仿宋_GB2312"/>
          <w:color w:val="auto"/>
          <w:sz w:val="32"/>
          <w:szCs w:val="32"/>
          <w:highlight w:val="none"/>
          <w:lang w:val="en-US" w:eastAsia="zh-CN"/>
        </w:rPr>
        <w:t>发布</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监管</w:t>
      </w:r>
      <w:r>
        <w:rPr>
          <w:rFonts w:hint="eastAsia" w:ascii="仿宋" w:hAnsi="仿宋" w:eastAsia="仿宋" w:cs="仿宋_GB2312"/>
          <w:color w:val="auto"/>
          <w:sz w:val="32"/>
          <w:szCs w:val="32"/>
          <w:highlight w:val="none"/>
        </w:rPr>
        <w:t>处罚情况说明（监管处罚</w:t>
      </w:r>
      <w:r>
        <w:rPr>
          <w:rFonts w:hint="eastAsia" w:ascii="仿宋" w:hAnsi="仿宋" w:eastAsia="仿宋" w:cs="仿宋_GB2312"/>
          <w:color w:val="auto"/>
          <w:sz w:val="32"/>
          <w:szCs w:val="32"/>
          <w:highlight w:val="none"/>
          <w:lang w:val="en-US" w:eastAsia="zh-CN"/>
        </w:rPr>
        <w:t>包括</w:t>
      </w:r>
      <w:r>
        <w:rPr>
          <w:rFonts w:hint="eastAsia" w:ascii="仿宋" w:hAnsi="仿宋" w:eastAsia="仿宋" w:cs="仿宋_GB2312"/>
          <w:color w:val="auto"/>
          <w:sz w:val="32"/>
          <w:szCs w:val="32"/>
          <w:highlight w:val="none"/>
        </w:rPr>
        <w:t>行政处罚、行政监管措施、自律监管措施等</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按监管文号分别披露；</w:t>
      </w:r>
      <w:r>
        <w:rPr>
          <w:rFonts w:hint="eastAsia" w:ascii="仿宋" w:hAnsi="仿宋" w:eastAsia="仿宋" w:cs="仿宋_GB2312"/>
          <w:color w:val="auto"/>
          <w:sz w:val="32"/>
          <w:szCs w:val="32"/>
          <w:highlight w:val="none"/>
        </w:rPr>
        <w:t>加盖公章，</w:t>
      </w:r>
      <w:r>
        <w:rPr>
          <w:rFonts w:hint="eastAsia" w:ascii="仿宋" w:hAnsi="仿宋" w:eastAsia="仿宋" w:cs="仿宋_GB2312"/>
          <w:color w:val="auto"/>
          <w:sz w:val="32"/>
          <w:szCs w:val="32"/>
          <w:highlight w:val="none"/>
          <w:lang w:val="en-US" w:eastAsia="zh-CN"/>
        </w:rPr>
        <w:t>法定代表人或授权委托人</w:t>
      </w:r>
      <w:r>
        <w:rPr>
          <w:rFonts w:hint="eastAsia" w:ascii="仿宋" w:hAnsi="仿宋" w:eastAsia="仿宋" w:cs="仿宋_GB2312"/>
          <w:color w:val="auto"/>
          <w:sz w:val="32"/>
          <w:szCs w:val="32"/>
          <w:highlight w:val="none"/>
        </w:rPr>
        <w:t>签章）</w:t>
      </w:r>
    </w:p>
    <w:p w14:paraId="01A934B8">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服务方案</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内容</w:t>
      </w:r>
      <w:r>
        <w:rPr>
          <w:rFonts w:hint="eastAsia" w:ascii="仿宋" w:hAnsi="仿宋" w:eastAsia="仿宋" w:cs="仿宋_GB2312"/>
          <w:color w:val="auto"/>
          <w:sz w:val="32"/>
          <w:szCs w:val="32"/>
          <w:highlight w:val="none"/>
        </w:rPr>
        <w:t>应涵盖基础服务、增值服务和团队配置等内容。其中：</w:t>
      </w:r>
      <w:r>
        <w:rPr>
          <w:rFonts w:hint="eastAsia" w:ascii="仿宋" w:hAnsi="仿宋" w:eastAsia="仿宋" w:cs="仿宋_GB2312"/>
          <w:b/>
          <w:bCs/>
          <w:color w:val="auto"/>
          <w:sz w:val="32"/>
          <w:szCs w:val="32"/>
          <w:highlight w:val="none"/>
        </w:rPr>
        <w:t>基础服务</w:t>
      </w:r>
      <w:r>
        <w:rPr>
          <w:rFonts w:hint="eastAsia" w:ascii="仿宋" w:hAnsi="仿宋" w:eastAsia="仿宋" w:cs="仿宋_GB2312"/>
          <w:color w:val="auto"/>
          <w:sz w:val="32"/>
          <w:szCs w:val="32"/>
          <w:highlight w:val="none"/>
        </w:rPr>
        <w:t>应包括流程设计、跟踪安排、质量控制、沟通机制、团队配置、风险预案及绿色通道安排等方面内容，并对项目实施过程中的难点问题进行分析与提出应对措施；</w:t>
      </w:r>
      <w:r>
        <w:rPr>
          <w:rFonts w:hint="eastAsia" w:ascii="仿宋" w:hAnsi="仿宋" w:eastAsia="仿宋" w:cs="仿宋_GB2312"/>
          <w:b/>
          <w:bCs/>
          <w:color w:val="auto"/>
          <w:sz w:val="32"/>
          <w:szCs w:val="32"/>
          <w:highlight w:val="none"/>
        </w:rPr>
        <w:t>增值服务</w:t>
      </w:r>
      <w:r>
        <w:rPr>
          <w:rFonts w:hint="eastAsia" w:ascii="仿宋" w:hAnsi="仿宋" w:eastAsia="仿宋" w:cs="仿宋_GB2312"/>
          <w:color w:val="auto"/>
          <w:sz w:val="32"/>
          <w:szCs w:val="32"/>
          <w:highlight w:val="none"/>
        </w:rPr>
        <w:t>包括但不限于战略性同业交流与市场洞察、定制化能力提升培训、持续性评级咨询与顾问服务等；</w:t>
      </w:r>
      <w:r>
        <w:rPr>
          <w:rFonts w:hint="eastAsia" w:ascii="仿宋" w:hAnsi="仿宋" w:eastAsia="仿宋" w:cs="仿宋_GB2312"/>
          <w:b/>
          <w:bCs/>
          <w:color w:val="auto"/>
          <w:sz w:val="32"/>
          <w:szCs w:val="32"/>
          <w:highlight w:val="none"/>
        </w:rPr>
        <w:t>团队配置</w:t>
      </w:r>
      <w:r>
        <w:rPr>
          <w:rFonts w:hint="eastAsia" w:ascii="仿宋" w:hAnsi="仿宋" w:eastAsia="仿宋" w:cs="仿宋_GB2312"/>
          <w:color w:val="auto"/>
          <w:sz w:val="32"/>
          <w:szCs w:val="32"/>
          <w:highlight w:val="none"/>
        </w:rPr>
        <w:t>包括项目负责人</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评级工作业绩、</w:t>
      </w:r>
      <w:r>
        <w:rPr>
          <w:rFonts w:hint="eastAsia" w:ascii="仿宋" w:hAnsi="仿宋" w:eastAsia="仿宋" w:cs="仿宋_GB2312"/>
          <w:color w:val="auto"/>
          <w:sz w:val="32"/>
          <w:szCs w:val="32"/>
          <w:highlight w:val="none"/>
          <w:lang w:val="en-US" w:eastAsia="zh-CN"/>
        </w:rPr>
        <w:t>评级</w:t>
      </w:r>
      <w:r>
        <w:rPr>
          <w:rFonts w:hint="eastAsia" w:ascii="仿宋" w:hAnsi="仿宋" w:eastAsia="仿宋" w:cs="仿宋_GB2312"/>
          <w:color w:val="auto"/>
          <w:sz w:val="32"/>
          <w:szCs w:val="32"/>
          <w:highlight w:val="none"/>
        </w:rPr>
        <w:t>案例情况</w:t>
      </w:r>
      <w:r>
        <w:rPr>
          <w:rFonts w:hint="eastAsia" w:ascii="仿宋" w:hAnsi="仿宋" w:eastAsia="仿宋" w:cs="仿宋_GB2312"/>
          <w:color w:val="auto"/>
          <w:sz w:val="32"/>
          <w:szCs w:val="32"/>
          <w:highlight w:val="none"/>
          <w:lang w:eastAsia="zh-CN"/>
        </w:rPr>
        <w:t>【包括</w:t>
      </w:r>
      <w:r>
        <w:rPr>
          <w:rFonts w:hint="eastAsia" w:ascii="仿宋" w:hAnsi="仿宋" w:eastAsia="仿宋" w:cs="仿宋_GB2312"/>
          <w:color w:val="auto"/>
          <w:sz w:val="32"/>
          <w:szCs w:val="32"/>
          <w:highlight w:val="none"/>
          <w:lang w:val="en-US" w:eastAsia="zh-CN"/>
        </w:rPr>
        <w:t>项目</w:t>
      </w:r>
      <w:r>
        <w:rPr>
          <w:rFonts w:hint="eastAsia" w:ascii="仿宋" w:hAnsi="仿宋" w:eastAsia="仿宋" w:cs="仿宋_GB2312"/>
          <w:color w:val="auto"/>
          <w:sz w:val="32"/>
          <w:szCs w:val="32"/>
          <w:highlight w:val="none"/>
          <w:lang w:eastAsia="zh-CN"/>
        </w:rPr>
        <w:t>时间、项目名称和担任的角色】</w:t>
      </w:r>
      <w:r>
        <w:rPr>
          <w:rFonts w:hint="eastAsia" w:ascii="仿宋" w:hAnsi="仿宋" w:eastAsia="仿宋" w:cs="仿宋_GB2312"/>
          <w:color w:val="auto"/>
          <w:sz w:val="32"/>
          <w:szCs w:val="32"/>
          <w:highlight w:val="none"/>
        </w:rPr>
        <w:t>，以及派驻现场服务团队人数和人员构成情况。</w:t>
      </w:r>
      <w:r>
        <w:rPr>
          <w:rFonts w:hint="eastAsia" w:ascii="仿宋" w:hAnsi="仿宋" w:eastAsia="仿宋" w:cs="仿宋_GB2312"/>
          <w:color w:val="auto"/>
          <w:sz w:val="32"/>
          <w:szCs w:val="32"/>
          <w:highlight w:val="none"/>
          <w:lang w:val="en-US" w:eastAsia="zh-CN"/>
        </w:rPr>
        <w:t>）</w:t>
      </w:r>
    </w:p>
    <w:p w14:paraId="6A399568">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报价单（按附件</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样式）</w:t>
      </w:r>
    </w:p>
    <w:p w14:paraId="7B1FD376">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bookmarkStart w:id="26" w:name="_Toc81784940"/>
      <w:r>
        <w:rPr>
          <w:rFonts w:hint="eastAsia" w:ascii="仿宋" w:hAnsi="仿宋" w:eastAsia="仿宋" w:cs="仿宋_GB2312"/>
          <w:color w:val="auto"/>
          <w:sz w:val="32"/>
          <w:szCs w:val="32"/>
          <w:highlight w:val="none"/>
        </w:rPr>
        <w:t>廉洁承诺书</w:t>
      </w:r>
      <w:bookmarkEnd w:id="26"/>
      <w:r>
        <w:rPr>
          <w:rFonts w:hint="eastAsia" w:ascii="仿宋" w:hAnsi="仿宋" w:eastAsia="仿宋" w:cs="仿宋_GB2312"/>
          <w:color w:val="auto"/>
          <w:sz w:val="32"/>
          <w:szCs w:val="32"/>
          <w:highlight w:val="none"/>
        </w:rPr>
        <w:t>（按附件</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样式）</w:t>
      </w:r>
    </w:p>
    <w:p w14:paraId="3C6F3A8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无重大违法记录声明函（按附件</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样式）</w:t>
      </w:r>
    </w:p>
    <w:p w14:paraId="13D5BDA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比选</w:t>
      </w:r>
      <w:r>
        <w:rPr>
          <w:rFonts w:hint="eastAsia" w:ascii="仿宋" w:hAnsi="仿宋" w:eastAsia="仿宋" w:cs="仿宋_GB2312"/>
          <w:color w:val="auto"/>
          <w:sz w:val="32"/>
          <w:szCs w:val="32"/>
          <w:highlight w:val="none"/>
          <w:lang w:val="en-US" w:eastAsia="zh-CN"/>
        </w:rPr>
        <w:t>文件规定</w:t>
      </w:r>
      <w:r>
        <w:rPr>
          <w:rFonts w:hint="eastAsia" w:ascii="仿宋" w:hAnsi="仿宋" w:eastAsia="仿宋" w:cs="仿宋_GB2312"/>
          <w:color w:val="auto"/>
          <w:sz w:val="32"/>
          <w:szCs w:val="32"/>
          <w:highlight w:val="none"/>
        </w:rPr>
        <w:t>的其他资料</w:t>
      </w:r>
    </w:p>
    <w:p w14:paraId="3106A2F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注：编制响应文件时不得对比选文件的附件1-4的相应要素作实质性修改。</w:t>
      </w:r>
    </w:p>
    <w:p w14:paraId="73FAE009">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C4651C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7" w:name="_Toc26112"/>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文件样式</w:t>
      </w:r>
      <w:bookmarkEnd w:id="27"/>
    </w:p>
    <w:p w14:paraId="766C53DF">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文件封面的右上角清楚地注明“正本”或“副本”。正本和副本如有不一致之处，以正本为准。</w:t>
      </w:r>
    </w:p>
    <w:p w14:paraId="78EEA749">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8" w:name="_Toc25124"/>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份数</w:t>
      </w:r>
      <w:bookmarkEnd w:id="28"/>
    </w:p>
    <w:p w14:paraId="24BE444B">
      <w:p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应准备正本</w:t>
      </w:r>
      <w:r>
        <w:rPr>
          <w:rFonts w:hint="eastAsia" w:ascii="仿宋" w:hAnsi="仿宋" w:eastAsia="仿宋" w:cs="仿宋_GB2312"/>
          <w:color w:val="auto"/>
          <w:sz w:val="32"/>
          <w:szCs w:val="32"/>
          <w:highlight w:val="none"/>
          <w:lang w:val="en-US" w:eastAsia="zh-CN"/>
        </w:rPr>
        <w:t>壹</w:t>
      </w:r>
      <w:r>
        <w:rPr>
          <w:rFonts w:hint="eastAsia" w:ascii="仿宋" w:hAnsi="仿宋" w:eastAsia="仿宋" w:cs="仿宋_GB2312"/>
          <w:color w:val="auto"/>
          <w:sz w:val="32"/>
          <w:szCs w:val="32"/>
          <w:highlight w:val="none"/>
        </w:rPr>
        <w:t>份，副本</w:t>
      </w:r>
      <w:r>
        <w:rPr>
          <w:rFonts w:hint="eastAsia" w:ascii="仿宋" w:hAnsi="仿宋" w:eastAsia="仿宋" w:cs="仿宋_GB2312"/>
          <w:color w:val="auto"/>
          <w:sz w:val="32"/>
          <w:szCs w:val="32"/>
          <w:highlight w:val="none"/>
          <w:lang w:val="en-US" w:eastAsia="zh-CN"/>
        </w:rPr>
        <w:t>陆</w:t>
      </w:r>
      <w:r>
        <w:rPr>
          <w:rFonts w:hint="eastAsia" w:ascii="仿宋" w:hAnsi="仿宋" w:eastAsia="仿宋" w:cs="仿宋_GB2312"/>
          <w:color w:val="auto"/>
          <w:sz w:val="32"/>
          <w:szCs w:val="32"/>
          <w:highlight w:val="none"/>
        </w:rPr>
        <w:t>份。副本可为正本的复印件。</w:t>
      </w:r>
    </w:p>
    <w:p w14:paraId="762ED5E4">
      <w:pPr>
        <w:spacing w:line="578" w:lineRule="exact"/>
        <w:ind w:firstLine="640" w:firstLineChars="200"/>
        <w:rPr>
          <w:rFonts w:ascii="仿宋" w:hAnsi="仿宋" w:eastAsia="仿宋" w:cs="仿宋_GB2312"/>
          <w:b w:val="0"/>
          <w:bCs w:val="0"/>
          <w:color w:val="auto"/>
          <w:sz w:val="32"/>
          <w:szCs w:val="32"/>
          <w:highlight w:val="none"/>
        </w:rPr>
      </w:pPr>
      <w:r>
        <w:rPr>
          <w:rFonts w:hint="eastAsia" w:ascii="仿宋" w:hAnsi="仿宋" w:eastAsia="仿宋" w:cs="仿宋_GB2312"/>
          <w:b w:val="0"/>
          <w:bCs w:val="0"/>
          <w:color w:val="auto"/>
          <w:sz w:val="32"/>
          <w:szCs w:val="32"/>
          <w:highlight w:val="none"/>
          <w:lang w:eastAsia="zh-CN"/>
        </w:rPr>
        <w:t>响应文件</w:t>
      </w:r>
      <w:r>
        <w:rPr>
          <w:rFonts w:hint="eastAsia" w:ascii="仿宋" w:hAnsi="仿宋" w:eastAsia="仿宋" w:cs="仿宋_GB2312"/>
          <w:b w:val="0"/>
          <w:bCs w:val="0"/>
          <w:color w:val="auto"/>
          <w:sz w:val="32"/>
          <w:szCs w:val="32"/>
          <w:highlight w:val="none"/>
        </w:rPr>
        <w:t>数量不符合要求的，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79F35E53">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9" w:name="_Toc11376"/>
      <w:r>
        <w:rPr>
          <w:rFonts w:hint="eastAsia" w:ascii="仿宋" w:hAnsi="仿宋" w:eastAsia="仿宋" w:cs="黑体"/>
          <w:bCs/>
          <w:color w:val="auto"/>
          <w:sz w:val="32"/>
          <w:szCs w:val="32"/>
          <w:highlight w:val="none"/>
          <w:lang w:val="en-US" w:eastAsia="zh-CN"/>
        </w:rPr>
        <w:t>响应文件签章、密封与标志要求</w:t>
      </w:r>
      <w:bookmarkEnd w:id="29"/>
    </w:p>
    <w:p w14:paraId="3108D326">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签名盖章要求</w:t>
      </w:r>
    </w:p>
    <w:p w14:paraId="4C6A31E3">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（正本）</w:t>
      </w:r>
      <w:r>
        <w:rPr>
          <w:rFonts w:hint="eastAsia" w:ascii="仿宋" w:hAnsi="仿宋" w:eastAsia="仿宋" w:cs="仿宋_GB2312"/>
          <w:b/>
          <w:bCs/>
          <w:color w:val="auto"/>
          <w:sz w:val="32"/>
          <w:szCs w:val="32"/>
          <w:highlight w:val="none"/>
        </w:rPr>
        <w:t>封面、骑缝</w:t>
      </w:r>
      <w:r>
        <w:rPr>
          <w:rFonts w:hint="eastAsia" w:ascii="仿宋" w:hAnsi="仿宋" w:eastAsia="仿宋" w:cs="仿宋_GB2312"/>
          <w:color w:val="auto"/>
          <w:sz w:val="32"/>
          <w:szCs w:val="32"/>
          <w:highlight w:val="none"/>
        </w:rPr>
        <w:t>需加盖</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人公章。</w:t>
      </w:r>
    </w:p>
    <w:p w14:paraId="16D0AE0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应用不褪色的材料书写或打印，并由响应人的法定代表人或其委托代理人在比选文件规定的位置按比选文件要求签名或盖章、盖单位法人章。委托代理人签名的，响应文件应附法定代表人签署的授权委托书。</w:t>
      </w:r>
    </w:p>
    <w:p w14:paraId="6DE0FE4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3.响应文件应尽量避免涂改、行间插字或删除。如果出现上述情况，改动之处应加盖响应人的法定代表人名章或由响应人的法定代表人或其授权的代理人签名确认。</w:t>
      </w:r>
    </w:p>
    <w:p w14:paraId="78DAF2C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1F2B734C">
      <w:pPr>
        <w:numPr>
          <w:ilvl w:val="0"/>
          <w:numId w:val="5"/>
        </w:numPr>
        <w:spacing w:line="578" w:lineRule="exact"/>
        <w:ind w:left="0" w:leftChars="0" w:firstLine="420" w:firstLineChars="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装订要求</w:t>
      </w:r>
    </w:p>
    <w:p w14:paraId="1468A2E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应使</w:t>
      </w:r>
      <w:r>
        <w:rPr>
          <w:rFonts w:hint="eastAsia" w:ascii="仿宋" w:hAnsi="仿宋" w:eastAsia="仿宋" w:cs="仿宋_GB2312"/>
          <w:color w:val="auto"/>
          <w:sz w:val="32"/>
          <w:szCs w:val="32"/>
          <w:highlight w:val="none"/>
        </w:rPr>
        <w:t>用A4纸</w:t>
      </w:r>
      <w:r>
        <w:rPr>
          <w:rFonts w:hint="eastAsia" w:ascii="仿宋" w:hAnsi="仿宋" w:eastAsia="仿宋" w:cs="仿宋_GB2312"/>
          <w:color w:val="auto"/>
          <w:sz w:val="32"/>
          <w:szCs w:val="32"/>
          <w:highlight w:val="none"/>
          <w:lang w:val="en-US" w:eastAsia="zh-CN"/>
        </w:rPr>
        <w:t>且用不褪色的材料书写或打印，必须装订</w:t>
      </w:r>
      <w:r>
        <w:rPr>
          <w:rFonts w:hint="eastAsia" w:ascii="仿宋" w:hAnsi="仿宋" w:eastAsia="仿宋" w:cs="仿宋_GB2312"/>
          <w:color w:val="auto"/>
          <w:sz w:val="32"/>
          <w:szCs w:val="32"/>
          <w:highlight w:val="none"/>
        </w:rPr>
        <w:t>成册</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标注页码。</w:t>
      </w:r>
    </w:p>
    <w:p w14:paraId="74FADD0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DA7B646">
      <w:pPr>
        <w:numPr>
          <w:ilvl w:val="0"/>
          <w:numId w:val="5"/>
        </w:numPr>
        <w:spacing w:line="578" w:lineRule="exact"/>
        <w:ind w:left="0" w:leftChars="0" w:firstLine="420" w:firstLineChars="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密封要求</w:t>
      </w:r>
    </w:p>
    <w:p w14:paraId="64A10898">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所有响应文件必须封入密封完好的信封或包装，</w:t>
      </w:r>
      <w:r>
        <w:rPr>
          <w:rFonts w:hint="eastAsia" w:ascii="仿宋" w:hAnsi="仿宋" w:eastAsia="仿宋" w:cs="仿宋_GB2312"/>
          <w:color w:val="auto"/>
          <w:sz w:val="32"/>
          <w:szCs w:val="32"/>
          <w:highlight w:val="none"/>
        </w:rPr>
        <w:t>并在封口处加盖响应人公章</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人应确保</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外包装材料不留有可在包封后添加或抽取</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的空隙。</w:t>
      </w:r>
    </w:p>
    <w:p w14:paraId="1EEA52A6">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0AA49372">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包装封面要求</w:t>
      </w:r>
    </w:p>
    <w:p w14:paraId="5E4BED95">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人应在文件包装</w:t>
      </w:r>
      <w:r>
        <w:rPr>
          <w:rFonts w:hint="eastAsia" w:ascii="仿宋" w:hAnsi="仿宋" w:eastAsia="仿宋" w:cs="仿宋_GB2312"/>
          <w:color w:val="auto"/>
          <w:sz w:val="32"/>
          <w:szCs w:val="32"/>
          <w:highlight w:val="none"/>
          <w:lang w:val="en-US" w:eastAsia="zh-CN"/>
        </w:rPr>
        <w:t>的封面上注明</w:t>
      </w:r>
      <w:r>
        <w:rPr>
          <w:rFonts w:hint="eastAsia" w:ascii="仿宋" w:hAnsi="仿宋" w:eastAsia="仿宋" w:cs="仿宋_GB2312"/>
          <w:color w:val="auto"/>
          <w:sz w:val="32"/>
          <w:szCs w:val="32"/>
          <w:highlight w:val="none"/>
        </w:rPr>
        <w:t>以下信息：</w:t>
      </w:r>
    </w:p>
    <w:tbl>
      <w:tblPr>
        <w:tblStyle w:val="16"/>
        <w:tblW w:w="0" w:type="auto"/>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98"/>
      </w:tblGrid>
      <w:tr w14:paraId="7F078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98" w:type="dxa"/>
            <w:tcBorders>
              <w:top w:val="single" w:color="auto" w:sz="4" w:space="0"/>
              <w:left w:val="single" w:color="auto" w:sz="4" w:space="0"/>
              <w:bottom w:val="single" w:color="auto" w:sz="4" w:space="0"/>
              <w:right w:val="single" w:color="auto" w:sz="4" w:space="0"/>
            </w:tcBorders>
          </w:tcPr>
          <w:p w14:paraId="70F32F04">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p>
          <w:p w14:paraId="06C21B22">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比选人名称：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C187A57">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3306FEE8">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响应人名称：</w:t>
            </w:r>
            <w:r>
              <w:rPr>
                <w:rFonts w:hint="eastAsia" w:ascii="仿宋" w:hAnsi="仿宋" w:eastAsia="仿宋" w:cs="仿宋"/>
                <w:color w:val="auto"/>
                <w:sz w:val="24"/>
                <w:szCs w:val="24"/>
                <w:highlight w:val="none"/>
                <w:u w:val="single"/>
              </w:rPr>
              <w:t xml:space="preserve">                    </w:t>
            </w:r>
          </w:p>
          <w:p w14:paraId="623C91C0">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2A078B3">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E72A5E">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1E31D1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 xml:space="preserve">电子邮箱：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C9BFA2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在截止时间前不得启封</w:t>
            </w:r>
          </w:p>
          <w:p w14:paraId="2B31720D">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p>
        </w:tc>
      </w:tr>
    </w:tbl>
    <w:p w14:paraId="2B572523">
      <w:pPr>
        <w:numPr>
          <w:ilvl w:val="0"/>
          <w:numId w:val="0"/>
        </w:numPr>
        <w:spacing w:line="578" w:lineRule="exact"/>
        <w:ind w:firstLine="640" w:firstLineChars="200"/>
        <w:rPr>
          <w:rFonts w:ascii="仿宋" w:hAnsi="仿宋" w:eastAsia="仿宋" w:cs="黑体"/>
          <w:bCs/>
          <w:color w:val="auto"/>
          <w:sz w:val="32"/>
          <w:szCs w:val="32"/>
          <w:highlight w:val="none"/>
          <w:lang w:val="en-US"/>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7D07A4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0" w:name="_Toc14996"/>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的</w:t>
      </w:r>
      <w:bookmarkEnd w:id="30"/>
      <w:r>
        <w:rPr>
          <w:rFonts w:hint="eastAsia" w:ascii="仿宋" w:hAnsi="仿宋" w:eastAsia="仿宋" w:cs="黑体"/>
          <w:bCs/>
          <w:color w:val="auto"/>
          <w:sz w:val="32"/>
          <w:szCs w:val="32"/>
          <w:highlight w:val="none"/>
          <w:lang w:val="en-US" w:eastAsia="zh-CN"/>
        </w:rPr>
        <w:t>的补充、修改与撤回</w:t>
      </w:r>
    </w:p>
    <w:p w14:paraId="7452D59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（一）响应人在递交响应文件以后，在规定的响应文件送达截止时间之前，应以书面形式递交补充、修改文件。补充、修改的内容为响应文件的组成部分。</w:t>
      </w:r>
    </w:p>
    <w:p w14:paraId="3DBE322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（二）响应人对响应文件的补充、修改，应按前述规定进行密封和标志，并在响应文件密封袋上清楚标明“补充、修改”字样。</w:t>
      </w:r>
    </w:p>
    <w:p w14:paraId="5509481A">
      <w:pPr>
        <w:numPr>
          <w:ilvl w:val="0"/>
          <w:numId w:val="0"/>
        </w:numPr>
        <w:spacing w:line="578" w:lineRule="exact"/>
        <w:ind w:firstLine="640" w:firstLineChars="200"/>
        <w:rPr>
          <w:rFonts w:hint="default" w:ascii="仿宋" w:hAnsi="仿宋" w:eastAsia="仿宋" w:cs="仿宋_GB2312"/>
          <w:color w:val="auto"/>
          <w:sz w:val="32"/>
          <w:szCs w:val="32"/>
          <w:highlight w:val="none"/>
          <w:lang w:val="en-US"/>
        </w:rPr>
      </w:pPr>
      <w:r>
        <w:rPr>
          <w:rFonts w:hint="eastAsia" w:ascii="仿宋" w:hAnsi="仿宋" w:eastAsia="仿宋" w:cs="仿宋_GB2312"/>
          <w:color w:val="auto"/>
          <w:sz w:val="32"/>
          <w:szCs w:val="32"/>
          <w:highlight w:val="none"/>
          <w:lang w:val="en-US" w:eastAsia="zh-CN"/>
        </w:rPr>
        <w:t>（三）响应人在递交响应文件以后，在规定的响应文件送达截止时间之前，可采用邮件等书面形式通知采购人撤回已递交的响应文件。</w:t>
      </w:r>
    </w:p>
    <w:p w14:paraId="3A82DA0D">
      <w:pPr>
        <w:rPr>
          <w:color w:val="auto"/>
          <w:highlight w:val="none"/>
          <w:lang w:val="en-US"/>
        </w:rPr>
      </w:pPr>
      <w:r>
        <w:rPr>
          <w:color w:val="auto"/>
          <w:highlight w:val="none"/>
          <w:lang w:val="en-US"/>
        </w:rPr>
        <w:br w:type="page"/>
      </w:r>
    </w:p>
    <w:p w14:paraId="4F53721F">
      <w:pPr>
        <w:numPr>
          <w:ilvl w:val="0"/>
          <w:numId w:val="2"/>
        </w:numPr>
        <w:spacing w:line="578" w:lineRule="exact"/>
        <w:ind w:firstLine="0"/>
        <w:jc w:val="center"/>
        <w:outlineLvl w:val="0"/>
        <w:rPr>
          <w:rFonts w:hint="eastAsia" w:ascii="黑体" w:hAnsi="黑体" w:eastAsia="黑体" w:cs="黑体"/>
          <w:b/>
          <w:bCs/>
          <w:color w:val="auto"/>
          <w:sz w:val="36"/>
          <w:szCs w:val="36"/>
          <w:highlight w:val="none"/>
        </w:rPr>
      </w:pPr>
      <w:bookmarkStart w:id="31" w:name="_Toc3461"/>
      <w:r>
        <w:rPr>
          <w:rFonts w:hint="eastAsia" w:ascii="黑体" w:hAnsi="黑体" w:eastAsia="黑体" w:cs="黑体"/>
          <w:b/>
          <w:bCs/>
          <w:color w:val="auto"/>
          <w:sz w:val="36"/>
          <w:szCs w:val="36"/>
          <w:highlight w:val="none"/>
          <w:lang w:val="en-US" w:eastAsia="zh-CN"/>
        </w:rPr>
        <w:t>评审办法</w:t>
      </w:r>
      <w:bookmarkEnd w:id="31"/>
    </w:p>
    <w:p w14:paraId="7480AB32">
      <w:pPr>
        <w:spacing w:line="578" w:lineRule="exact"/>
        <w:ind w:firstLine="640" w:firstLineChars="200"/>
        <w:rPr>
          <w:rFonts w:hint="eastAsia" w:ascii="仿宋" w:hAnsi="仿宋" w:eastAsia="仿宋" w:cs="仿宋_GB2312"/>
          <w:color w:val="auto"/>
          <w:sz w:val="32"/>
          <w:szCs w:val="32"/>
          <w:highlight w:val="none"/>
        </w:rPr>
      </w:pPr>
    </w:p>
    <w:p w14:paraId="70F31372">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2" w:name="_Toc3915"/>
      <w:bookmarkStart w:id="33" w:name="_Toc441837630"/>
      <w:bookmarkStart w:id="34" w:name="_Toc486212892"/>
      <w:bookmarkStart w:id="35" w:name="_Toc53994649"/>
      <w:bookmarkStart w:id="36" w:name="_Toc475527270"/>
      <w:bookmarkStart w:id="37" w:name="_Toc476040097"/>
      <w:bookmarkStart w:id="38" w:name="_Toc486213608"/>
      <w:bookmarkStart w:id="39" w:name="_Toc441838021"/>
      <w:bookmarkStart w:id="40" w:name="_Toc446323063"/>
      <w:r>
        <w:rPr>
          <w:rFonts w:hint="eastAsia" w:ascii="仿宋" w:hAnsi="仿宋" w:eastAsia="仿宋" w:cs="黑体"/>
          <w:bCs/>
          <w:color w:val="auto"/>
          <w:sz w:val="32"/>
          <w:szCs w:val="32"/>
          <w:highlight w:val="none"/>
          <w:lang w:val="en-US" w:eastAsia="zh-CN"/>
        </w:rPr>
        <w:t>评审</w:t>
      </w:r>
      <w:r>
        <w:rPr>
          <w:rFonts w:hint="eastAsia" w:ascii="仿宋" w:hAnsi="仿宋" w:eastAsia="仿宋" w:cs="黑体"/>
          <w:bCs/>
          <w:color w:val="auto"/>
          <w:sz w:val="32"/>
          <w:szCs w:val="32"/>
          <w:highlight w:val="none"/>
          <w:lang w:val="en-US"/>
        </w:rPr>
        <w:t>方法</w:t>
      </w:r>
      <w:bookmarkEnd w:id="32"/>
    </w:p>
    <w:p w14:paraId="4C8A1BD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本次</w:t>
      </w:r>
      <w:r>
        <w:rPr>
          <w:rFonts w:hint="eastAsia" w:ascii="仿宋" w:hAnsi="仿宋" w:eastAsia="仿宋" w:cs="仿宋_GB2312"/>
          <w:color w:val="auto"/>
          <w:sz w:val="32"/>
          <w:szCs w:val="32"/>
          <w:highlight w:val="none"/>
          <w:lang w:val="en-US" w:eastAsia="zh-CN"/>
        </w:rPr>
        <w:t>评审</w:t>
      </w:r>
      <w:r>
        <w:rPr>
          <w:rFonts w:hint="eastAsia" w:ascii="仿宋" w:hAnsi="仿宋" w:eastAsia="仿宋" w:cs="仿宋_GB2312"/>
          <w:color w:val="auto"/>
          <w:sz w:val="32"/>
          <w:szCs w:val="32"/>
          <w:highlight w:val="none"/>
        </w:rPr>
        <w:t>采用综合</w:t>
      </w:r>
      <w:r>
        <w:rPr>
          <w:rFonts w:hint="eastAsia" w:ascii="仿宋" w:hAnsi="仿宋" w:eastAsia="仿宋" w:cs="仿宋_GB2312"/>
          <w:color w:val="auto"/>
          <w:sz w:val="32"/>
          <w:szCs w:val="32"/>
          <w:highlight w:val="none"/>
          <w:lang w:val="en-US" w:eastAsia="zh-CN"/>
        </w:rPr>
        <w:t>评价</w:t>
      </w:r>
      <w:r>
        <w:rPr>
          <w:rFonts w:hint="eastAsia" w:ascii="仿宋" w:hAnsi="仿宋" w:eastAsia="仿宋" w:cs="仿宋_GB2312"/>
          <w:color w:val="auto"/>
          <w:sz w:val="32"/>
          <w:szCs w:val="32"/>
          <w:highlight w:val="none"/>
        </w:rPr>
        <w:t>法进行评价</w:t>
      </w:r>
      <w:r>
        <w:rPr>
          <w:rFonts w:hint="eastAsia" w:ascii="仿宋" w:hAnsi="仿宋" w:eastAsia="仿宋" w:cs="仿宋_GB2312"/>
          <w:color w:val="auto"/>
          <w:sz w:val="32"/>
          <w:szCs w:val="32"/>
          <w:highlight w:val="none"/>
          <w:lang w:val="en-US" w:eastAsia="zh-CN"/>
        </w:rPr>
        <w:t>（总分100分）。综合得分=“报价”得分+“公司实力”得分+“业绩经验”得分+“监管评价”得分+“服务方案”得分+“项目服务团队人员”得分。</w:t>
      </w:r>
    </w:p>
    <w:p w14:paraId="7A190D5D">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41" w:name="_Toc540"/>
      <w:r>
        <w:rPr>
          <w:rFonts w:hint="eastAsia" w:ascii="仿宋" w:hAnsi="仿宋" w:eastAsia="仿宋" w:cs="黑体"/>
          <w:bCs/>
          <w:color w:val="auto"/>
          <w:sz w:val="32"/>
          <w:szCs w:val="32"/>
          <w:highlight w:val="none"/>
          <w:lang w:val="en-US"/>
        </w:rPr>
        <w:t>评</w:t>
      </w:r>
      <w:r>
        <w:rPr>
          <w:rFonts w:hint="eastAsia" w:ascii="仿宋" w:hAnsi="仿宋" w:eastAsia="仿宋" w:cs="黑体"/>
          <w:bCs/>
          <w:color w:val="auto"/>
          <w:sz w:val="32"/>
          <w:szCs w:val="32"/>
          <w:highlight w:val="none"/>
          <w:lang w:val="en-US" w:eastAsia="zh-CN"/>
        </w:rPr>
        <w:t>审标准</w:t>
      </w:r>
      <w:bookmarkEnd w:id="41"/>
    </w:p>
    <w:p w14:paraId="3DBBB92F">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（一）资格审查</w:t>
      </w:r>
    </w:p>
    <w:p w14:paraId="74B44D71">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评审小组根据《资格审查表》内容进行初步审查，响应人必须符合资质审查和形式审查的所有要求才能参与下一步评审，只要出现一项不符合的情形，由评审小组作否决投标处理。</w:t>
      </w:r>
    </w:p>
    <w:p w14:paraId="7F95F3AA">
      <w:pPr>
        <w:numPr>
          <w:ilvl w:val="0"/>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《资格审查表》如下：</w:t>
      </w:r>
    </w:p>
    <w:tbl>
      <w:tblPr>
        <w:tblStyle w:val="1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43"/>
        <w:gridCol w:w="6652"/>
      </w:tblGrid>
      <w:tr w14:paraId="0644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4" w:type="dxa"/>
            <w:gridSpan w:val="2"/>
            <w:vAlign w:val="center"/>
          </w:tcPr>
          <w:p w14:paraId="0B218723">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评审因素</w:t>
            </w:r>
          </w:p>
        </w:tc>
        <w:tc>
          <w:tcPr>
            <w:tcW w:w="6652" w:type="dxa"/>
            <w:vAlign w:val="center"/>
          </w:tcPr>
          <w:p w14:paraId="43A0D03A">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评审标准</w:t>
            </w:r>
          </w:p>
        </w:tc>
      </w:tr>
      <w:tr w14:paraId="0A0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restart"/>
            <w:textDirection w:val="tbRlV"/>
            <w:vAlign w:val="center"/>
          </w:tcPr>
          <w:p w14:paraId="0095C8A2">
            <w:pPr>
              <w:ind w:left="113" w:right="113"/>
              <w:jc w:val="center"/>
              <w:rPr>
                <w:rFonts w:hint="default" w:ascii="Times New Roman" w:hAnsi="Times New Roman" w:eastAsia="仿宋_GB2312" w:cs="Times New Roman"/>
                <w:b w:val="0"/>
                <w:bCs/>
                <w:color w:val="auto"/>
                <w:sz w:val="24"/>
                <w:szCs w:val="24"/>
                <w:highlight w:val="none"/>
                <w:u w:val="none"/>
                <w:lang w:val="en-US" w:eastAsia="zh-CN"/>
              </w:rPr>
            </w:pPr>
            <w:r>
              <w:rPr>
                <w:rFonts w:hint="default" w:ascii="Times New Roman" w:hAnsi="Times New Roman" w:eastAsia="仿宋_GB2312" w:cs="Times New Roman"/>
                <w:b w:val="0"/>
                <w:bCs/>
                <w:color w:val="auto"/>
                <w:sz w:val="24"/>
                <w:szCs w:val="24"/>
                <w:highlight w:val="none"/>
                <w:u w:val="none"/>
                <w:lang w:val="en-US" w:eastAsia="zh-CN"/>
              </w:rPr>
              <w:t>资质审查</w:t>
            </w:r>
          </w:p>
        </w:tc>
        <w:tc>
          <w:tcPr>
            <w:tcW w:w="1343" w:type="dxa"/>
            <w:vMerge w:val="restart"/>
            <w:vAlign w:val="center"/>
          </w:tcPr>
          <w:p w14:paraId="6B1E0470">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GB"/>
              </w:rPr>
              <w:t>资质</w:t>
            </w:r>
            <w:r>
              <w:rPr>
                <w:rFonts w:hint="eastAsia" w:ascii="Times New Roman" w:hAnsi="Times New Roman" w:eastAsia="仿宋_GB2312" w:cs="Times New Roman"/>
                <w:b w:val="0"/>
                <w:bCs/>
                <w:color w:val="auto"/>
                <w:sz w:val="24"/>
                <w:szCs w:val="24"/>
                <w:highlight w:val="none"/>
                <w:lang w:val="en-US" w:eastAsia="zh-CN"/>
              </w:rPr>
              <w:t>要求</w:t>
            </w:r>
          </w:p>
        </w:tc>
        <w:tc>
          <w:tcPr>
            <w:tcW w:w="6652" w:type="dxa"/>
            <w:vAlign w:val="center"/>
          </w:tcPr>
          <w:p w14:paraId="61813999">
            <w:pPr>
              <w:jc w:val="both"/>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具有独立法人资格并依法取得企业法人营业执照</w:t>
            </w:r>
            <w:r>
              <w:rPr>
                <w:rFonts w:hint="eastAsia"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提供营业执照复印件并加盖公章）</w:t>
            </w:r>
          </w:p>
        </w:tc>
      </w:tr>
      <w:tr w14:paraId="1D6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41" w:type="dxa"/>
            <w:vMerge w:val="continue"/>
            <w:textDirection w:val="tbRlV"/>
            <w:vAlign w:val="center"/>
          </w:tcPr>
          <w:p w14:paraId="19F5DFA6">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0E988F0A">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3B5C48FF">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 w:val="0"/>
                <w:bCs/>
                <w:color w:val="auto"/>
                <w:sz w:val="24"/>
                <w:szCs w:val="24"/>
                <w:highlight w:val="none"/>
                <w:lang w:val="en-US" w:eastAsia="zh-CN"/>
              </w:rPr>
              <w:t>同时持</w:t>
            </w:r>
            <w:r>
              <w:rPr>
                <w:rFonts w:hint="default" w:ascii="Times New Roman" w:hAnsi="Times New Roman" w:eastAsia="仿宋_GB2312" w:cs="Times New Roman"/>
                <w:b w:val="0"/>
                <w:bCs/>
                <w:color w:val="auto"/>
                <w:sz w:val="24"/>
                <w:szCs w:val="24"/>
                <w:highlight w:val="none"/>
                <w:lang w:val="en-GB"/>
              </w:rPr>
              <w:t>有中国人民银行、中国证监会</w:t>
            </w:r>
            <w:r>
              <w:rPr>
                <w:rFonts w:hint="default" w:ascii="Times New Roman" w:hAnsi="Times New Roman" w:eastAsia="仿宋_GB2312" w:cs="Times New Roman"/>
                <w:b w:val="0"/>
                <w:bCs/>
                <w:color w:val="auto"/>
                <w:sz w:val="24"/>
                <w:szCs w:val="24"/>
                <w:highlight w:val="none"/>
                <w:lang w:val="en-US" w:eastAsia="zh-CN"/>
              </w:rPr>
              <w:t>和</w:t>
            </w:r>
            <w:r>
              <w:rPr>
                <w:rFonts w:hint="default" w:ascii="Times New Roman" w:hAnsi="Times New Roman" w:eastAsia="仿宋_GB2312" w:cs="Times New Roman"/>
                <w:b w:val="0"/>
                <w:bCs/>
                <w:color w:val="auto"/>
                <w:sz w:val="24"/>
                <w:szCs w:val="24"/>
                <w:highlight w:val="none"/>
                <w:lang w:val="en-GB"/>
              </w:rPr>
              <w:t>中国银行间市场交易商协会等相关部门颁发</w:t>
            </w:r>
            <w:r>
              <w:rPr>
                <w:rFonts w:hint="default" w:ascii="Times New Roman" w:hAnsi="Times New Roman" w:eastAsia="仿宋_GB2312" w:cs="Times New Roman"/>
                <w:b w:val="0"/>
                <w:bCs/>
                <w:color w:val="auto"/>
                <w:sz w:val="24"/>
                <w:szCs w:val="24"/>
                <w:highlight w:val="none"/>
                <w:lang w:val="en-US" w:eastAsia="zh-CN"/>
              </w:rPr>
              <w:t>或认可</w:t>
            </w:r>
            <w:r>
              <w:rPr>
                <w:rFonts w:hint="default" w:ascii="Times New Roman" w:hAnsi="Times New Roman" w:eastAsia="仿宋_GB2312" w:cs="Times New Roman"/>
                <w:b w:val="0"/>
                <w:bCs/>
                <w:color w:val="auto"/>
                <w:sz w:val="24"/>
                <w:szCs w:val="24"/>
                <w:highlight w:val="none"/>
                <w:lang w:val="en-GB"/>
              </w:rPr>
              <w:t>的信用评级业务资质证书</w:t>
            </w:r>
            <w:r>
              <w:rPr>
                <w:rFonts w:hint="eastAsia"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提供证书复印件并加盖公章）</w:t>
            </w:r>
          </w:p>
        </w:tc>
      </w:tr>
      <w:tr w14:paraId="092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vMerge w:val="continue"/>
            <w:textDirection w:val="tbRlV"/>
            <w:vAlign w:val="center"/>
          </w:tcPr>
          <w:p w14:paraId="32B929CE">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1BCEC79">
            <w:pPr>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监管合规</w:t>
            </w:r>
          </w:p>
        </w:tc>
        <w:tc>
          <w:tcPr>
            <w:tcW w:w="6652" w:type="dxa"/>
            <w:vAlign w:val="center"/>
          </w:tcPr>
          <w:p w14:paraId="7B6A4018">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近3年（自2023年3月1日起至本项目响应文件提交截止之日止）</w:t>
            </w:r>
            <w:r>
              <w:rPr>
                <w:rFonts w:hint="default" w:ascii="Times New Roman" w:hAnsi="Times New Roman" w:eastAsia="仿宋_GB2312" w:cs="Times New Roman"/>
                <w:b w:val="0"/>
                <w:bCs/>
                <w:color w:val="auto"/>
                <w:sz w:val="24"/>
                <w:szCs w:val="24"/>
                <w:highlight w:val="none"/>
                <w:lang w:val="en-GB" w:eastAsia="zh-CN"/>
              </w:rPr>
              <w:t>在经营活动中无</w:t>
            </w:r>
            <w:r>
              <w:rPr>
                <w:rFonts w:hint="eastAsia" w:ascii="Times New Roman" w:hAnsi="Times New Roman" w:eastAsia="仿宋_GB2312" w:cs="Times New Roman"/>
                <w:b w:val="0"/>
                <w:bCs/>
                <w:color w:val="auto"/>
                <w:sz w:val="24"/>
                <w:szCs w:val="24"/>
                <w:highlight w:val="none"/>
                <w:lang w:val="en-US" w:eastAsia="zh-CN"/>
              </w:rPr>
              <w:t>以下</w:t>
            </w:r>
            <w:r>
              <w:rPr>
                <w:rFonts w:hint="default" w:ascii="Times New Roman" w:hAnsi="Times New Roman" w:eastAsia="仿宋_GB2312" w:cs="Times New Roman"/>
                <w:b w:val="0"/>
                <w:bCs/>
                <w:color w:val="auto"/>
                <w:sz w:val="24"/>
                <w:szCs w:val="24"/>
                <w:highlight w:val="none"/>
                <w:lang w:val="en-GB" w:eastAsia="zh-CN"/>
              </w:rPr>
              <w:t>不良行为记录：没有处于被责令停业、投标资格被取消、财产被接管、冻结、破产状态，在经营活动中没有重大违法记录</w:t>
            </w:r>
            <w:r>
              <w:rPr>
                <w:rFonts w:hint="eastAsia" w:ascii="Times New Roman" w:hAnsi="Times New Roman" w:eastAsia="仿宋_GB2312" w:cs="Times New Roman"/>
                <w:b w:val="0"/>
                <w:bCs/>
                <w:color w:val="auto"/>
                <w:sz w:val="24"/>
                <w:szCs w:val="24"/>
                <w:highlight w:val="none"/>
                <w:lang w:val="en-GB" w:eastAsia="zh-CN"/>
              </w:rPr>
              <w:t>（声明格式</w:t>
            </w:r>
            <w:r>
              <w:rPr>
                <w:rFonts w:hint="eastAsia" w:ascii="Times New Roman" w:hAnsi="Times New Roman" w:eastAsia="仿宋_GB2312" w:cs="Times New Roman"/>
                <w:b w:val="0"/>
                <w:bCs/>
                <w:color w:val="auto"/>
                <w:sz w:val="24"/>
                <w:szCs w:val="24"/>
                <w:highlight w:val="none"/>
                <w:lang w:val="en-US" w:eastAsia="zh-CN"/>
              </w:rPr>
              <w:t>见附件4</w:t>
            </w:r>
            <w:r>
              <w:rPr>
                <w:rFonts w:hint="eastAsia" w:ascii="Times New Roman" w:hAnsi="Times New Roman" w:eastAsia="仿宋_GB2312" w:cs="Times New Roman"/>
                <w:b w:val="0"/>
                <w:bCs/>
                <w:color w:val="auto"/>
                <w:sz w:val="24"/>
                <w:szCs w:val="24"/>
                <w:highlight w:val="none"/>
                <w:lang w:val="en-GB" w:eastAsia="zh-CN"/>
              </w:rPr>
              <w:t>，加盖公章，法定代表人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eastAsia" w:ascii="Times New Roman" w:hAnsi="Times New Roman" w:eastAsia="仿宋_GB2312" w:cs="Times New Roman"/>
                <w:b w:val="0"/>
                <w:bCs/>
                <w:color w:val="auto"/>
                <w:sz w:val="24"/>
                <w:szCs w:val="24"/>
                <w:highlight w:val="none"/>
                <w:lang w:val="en-GB" w:eastAsia="zh-CN"/>
              </w:rPr>
              <w:t>）</w:t>
            </w:r>
          </w:p>
        </w:tc>
      </w:tr>
      <w:tr w14:paraId="270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41" w:type="dxa"/>
            <w:vMerge w:val="continue"/>
            <w:textDirection w:val="tbRlV"/>
            <w:vAlign w:val="center"/>
          </w:tcPr>
          <w:p w14:paraId="0E4650E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restart"/>
            <w:vAlign w:val="center"/>
          </w:tcPr>
          <w:p w14:paraId="20A69813">
            <w:pPr>
              <w:jc w:val="cente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rPr>
              <w:t>信用</w:t>
            </w:r>
            <w:r>
              <w:rPr>
                <w:rFonts w:hint="eastAsia" w:ascii="Times New Roman" w:hAnsi="Times New Roman" w:eastAsia="仿宋_GB2312" w:cs="Times New Roman"/>
                <w:b w:val="0"/>
                <w:bCs/>
                <w:color w:val="auto"/>
                <w:sz w:val="24"/>
                <w:szCs w:val="24"/>
                <w:highlight w:val="none"/>
                <w:lang w:val="en-US" w:eastAsia="zh-CN"/>
              </w:rPr>
              <w:t>状况</w:t>
            </w:r>
          </w:p>
        </w:tc>
        <w:tc>
          <w:tcPr>
            <w:tcW w:w="6652" w:type="dxa"/>
            <w:vAlign w:val="center"/>
          </w:tcPr>
          <w:p w14:paraId="49606632">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在“信用中国”网站（www.creditchina.gov.cn）未被列入失信被执行人、重大税收违法失信主体、政府采购严重违法失信记录名单（提供网站查询截图并加盖公章）</w:t>
            </w:r>
          </w:p>
        </w:tc>
      </w:tr>
      <w:tr w14:paraId="4A7C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Merge w:val="continue"/>
            <w:textDirection w:val="tbRlV"/>
            <w:vAlign w:val="center"/>
          </w:tcPr>
          <w:p w14:paraId="39EE3C8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4819977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123AC316">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在中国政府采购网（www.ccgp.gov.cn）未被列入政府采购严重违法失信行为记录名单、政府采购代理机构不良行为记录名单（提供网站查询截图并加盖公章）</w:t>
            </w:r>
          </w:p>
        </w:tc>
      </w:tr>
      <w:tr w14:paraId="208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41" w:type="dxa"/>
            <w:vMerge w:val="continue"/>
            <w:textDirection w:val="tbRlV"/>
            <w:vAlign w:val="center"/>
          </w:tcPr>
          <w:p w14:paraId="6C1C253B">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63A5933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6DFAFDBE">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在中国执行网（http://zxgk.court.gov.cn/shixin/）未被列入失信被执行人名单（提供网站查询截图并加盖公章）</w:t>
            </w:r>
          </w:p>
        </w:tc>
      </w:tr>
      <w:tr w14:paraId="3DB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1" w:type="dxa"/>
            <w:vMerge w:val="continue"/>
            <w:textDirection w:val="tbRlV"/>
            <w:vAlign w:val="center"/>
          </w:tcPr>
          <w:p w14:paraId="016DF263">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33C6273">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关联关系</w:t>
            </w:r>
          </w:p>
        </w:tc>
        <w:tc>
          <w:tcPr>
            <w:tcW w:w="6652" w:type="dxa"/>
            <w:vAlign w:val="center"/>
          </w:tcPr>
          <w:p w14:paraId="1E389908">
            <w:pPr>
              <w:rPr>
                <w:rFonts w:hint="default" w:ascii="Times New Roman" w:hAnsi="Times New Roman" w:eastAsia="仿宋_GB2312" w:cs="Times New Roman"/>
                <w:b w:val="0"/>
                <w:bCs/>
                <w:color w:val="auto"/>
                <w:sz w:val="24"/>
                <w:szCs w:val="24"/>
                <w:highlight w:val="none"/>
                <w:lang w:val="en-US" w:eastAsia="zh-CN"/>
              </w:rPr>
            </w:pPr>
            <w:r>
              <w:rPr>
                <w:rFonts w:hint="eastAsia" w:ascii="Times New Roman" w:hAnsi="Times New Roman" w:eastAsia="仿宋_GB2312" w:cs="Times New Roman"/>
                <w:b w:val="0"/>
                <w:bCs/>
                <w:color w:val="auto"/>
                <w:sz w:val="24"/>
                <w:szCs w:val="24"/>
                <w:highlight w:val="none"/>
                <w:lang w:val="en-US" w:eastAsia="zh-CN"/>
              </w:rPr>
              <w:t>参加比选的供应商</w:t>
            </w:r>
            <w:r>
              <w:rPr>
                <w:rFonts w:hint="default" w:ascii="Times New Roman" w:hAnsi="Times New Roman" w:eastAsia="仿宋_GB2312" w:cs="Times New Roman"/>
                <w:b w:val="0"/>
                <w:bCs/>
                <w:color w:val="auto"/>
                <w:sz w:val="24"/>
                <w:szCs w:val="24"/>
                <w:highlight w:val="none"/>
                <w:lang w:val="en-US" w:eastAsia="zh-CN"/>
              </w:rPr>
              <w:t>不存在以下关联关系：</w:t>
            </w:r>
            <w:r>
              <w:rPr>
                <w:rFonts w:hint="eastAsia" w:ascii="Times New Roman" w:hAnsi="Times New Roman" w:eastAsia="仿宋_GB2312" w:cs="Times New Roman"/>
                <w:bCs/>
                <w:color w:val="auto"/>
                <w:sz w:val="24"/>
                <w:highlight w:val="none"/>
                <w:lang w:eastAsia="zh-CN"/>
              </w:rPr>
              <w:t>法定代表人</w:t>
            </w:r>
            <w:r>
              <w:rPr>
                <w:rFonts w:hint="default" w:ascii="Times New Roman" w:hAnsi="Times New Roman" w:eastAsia="仿宋_GB2312" w:cs="Times New Roman"/>
                <w:bCs/>
                <w:color w:val="auto"/>
                <w:sz w:val="24"/>
                <w:highlight w:val="none"/>
              </w:rPr>
              <w:t>为同一人或者存在直接控股、管理关系</w:t>
            </w:r>
            <w:r>
              <w:rPr>
                <w:rFonts w:hint="default" w:ascii="Times New Roman" w:hAnsi="Times New Roman" w:eastAsia="仿宋_GB2312" w:cs="Times New Roman"/>
                <w:b w:val="0"/>
                <w:bCs/>
                <w:color w:val="auto"/>
                <w:sz w:val="24"/>
                <w:szCs w:val="24"/>
                <w:highlight w:val="none"/>
                <w:lang w:val="en-US" w:eastAsia="zh-CN"/>
              </w:rPr>
              <w:t>（声明格式自拟，加盖公章，法定代表人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US" w:eastAsia="zh-CN"/>
              </w:rPr>
              <w:t>）</w:t>
            </w:r>
          </w:p>
        </w:tc>
      </w:tr>
      <w:tr w14:paraId="0DC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continue"/>
            <w:textDirection w:val="tbRlV"/>
            <w:vAlign w:val="center"/>
          </w:tcPr>
          <w:p w14:paraId="71F55A0C">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46C06AC8">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独立性</w:t>
            </w:r>
          </w:p>
        </w:tc>
        <w:tc>
          <w:tcPr>
            <w:tcW w:w="6652" w:type="dxa"/>
            <w:vAlign w:val="center"/>
          </w:tcPr>
          <w:p w14:paraId="14D676C8">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US" w:eastAsia="zh-CN"/>
              </w:rPr>
              <w:t>不是</w:t>
            </w:r>
            <w:r>
              <w:rPr>
                <w:rFonts w:hint="default" w:ascii="Times New Roman" w:hAnsi="Times New Roman" w:eastAsia="仿宋_GB2312" w:cs="Times New Roman"/>
                <w:b w:val="0"/>
                <w:bCs/>
                <w:color w:val="auto"/>
                <w:sz w:val="24"/>
                <w:szCs w:val="24"/>
                <w:highlight w:val="none"/>
                <w:lang w:val="en-GB" w:eastAsia="zh-CN"/>
              </w:rPr>
              <w:t>联合体投标，不得转包和分包（声明格式自拟，加盖公章，法定代表人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GB" w:eastAsia="zh-CN"/>
              </w:rPr>
              <w:t>）</w:t>
            </w:r>
          </w:p>
        </w:tc>
      </w:tr>
      <w:tr w14:paraId="37D7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restart"/>
            <w:textDirection w:val="tbRlV"/>
            <w:vAlign w:val="center"/>
          </w:tcPr>
          <w:p w14:paraId="5E741490">
            <w:pPr>
              <w:ind w:left="113" w:right="113"/>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u w:val="none"/>
                <w:lang w:val="en-US" w:eastAsia="zh-CN"/>
              </w:rPr>
              <w:t>形式</w:t>
            </w:r>
            <w:r>
              <w:rPr>
                <w:rFonts w:hint="default" w:ascii="Times New Roman" w:hAnsi="Times New Roman" w:eastAsia="仿宋_GB2312" w:cs="Times New Roman"/>
                <w:b w:val="0"/>
                <w:bCs/>
                <w:color w:val="auto"/>
                <w:sz w:val="24"/>
                <w:szCs w:val="24"/>
                <w:highlight w:val="none"/>
                <w:u w:val="none"/>
              </w:rPr>
              <w:t>审查</w:t>
            </w:r>
          </w:p>
        </w:tc>
        <w:tc>
          <w:tcPr>
            <w:tcW w:w="1343" w:type="dxa"/>
            <w:shd w:val="clear" w:color="auto" w:fill="auto"/>
            <w:vAlign w:val="center"/>
          </w:tcPr>
          <w:p w14:paraId="6BD7AB18">
            <w:pPr>
              <w:jc w:val="cente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文件递交合规</w:t>
            </w:r>
          </w:p>
        </w:tc>
        <w:tc>
          <w:tcPr>
            <w:tcW w:w="6652" w:type="dxa"/>
            <w:shd w:val="clear" w:color="auto" w:fill="auto"/>
            <w:vAlign w:val="center"/>
          </w:tcPr>
          <w:p w14:paraId="36B209CB">
            <w:pP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default" w:ascii="Times New Roman" w:hAnsi="Times New Roman" w:eastAsia="仿宋_GB2312" w:cs="Times New Roman"/>
                <w:b w:val="0"/>
                <w:bCs/>
                <w:color w:val="auto"/>
                <w:sz w:val="24"/>
                <w:szCs w:val="24"/>
                <w:highlight w:val="none"/>
                <w:lang w:val="en-US" w:eastAsia="zh-CN"/>
              </w:rPr>
              <w:t>符合第一章</w:t>
            </w:r>
            <w:r>
              <w:rPr>
                <w:rFonts w:hint="default"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响应人须知</w:t>
            </w:r>
            <w:r>
              <w:rPr>
                <w:rFonts w:hint="default" w:ascii="Times New Roman" w:hAnsi="Times New Roman" w:eastAsia="仿宋_GB2312" w:cs="Times New Roman"/>
                <w:b w:val="0"/>
                <w:bCs/>
                <w:color w:val="auto"/>
                <w:sz w:val="24"/>
                <w:szCs w:val="24"/>
                <w:highlight w:val="none"/>
                <w:lang w:val="en-GB" w:eastAsia="zh-CN"/>
              </w:rPr>
              <w:t>”</w:t>
            </w:r>
            <w:r>
              <w:rPr>
                <w:rFonts w:hint="default" w:ascii="Times New Roman" w:hAnsi="Times New Roman" w:eastAsia="仿宋_GB2312" w:cs="Times New Roman"/>
                <w:b w:val="0"/>
                <w:bCs/>
                <w:color w:val="auto"/>
                <w:sz w:val="24"/>
                <w:szCs w:val="24"/>
                <w:highlight w:val="none"/>
                <w:lang w:val="en-US" w:eastAsia="zh-CN"/>
              </w:rPr>
              <w:t>第四条</w:t>
            </w:r>
            <w:r>
              <w:rPr>
                <w:rFonts w:hint="eastAsia" w:ascii="Times New Roman" w:hAnsi="Times New Roman" w:eastAsia="仿宋_GB2312" w:cs="Times New Roman"/>
                <w:b w:val="0"/>
                <w:bCs/>
                <w:color w:val="auto"/>
                <w:sz w:val="24"/>
                <w:szCs w:val="24"/>
                <w:highlight w:val="none"/>
                <w:lang w:val="en-US" w:eastAsia="zh-CN"/>
              </w:rPr>
              <w:t>关于</w:t>
            </w:r>
            <w:r>
              <w:rPr>
                <w:rFonts w:hint="eastAsia" w:ascii="Times New Roman" w:hAnsi="Times New Roman" w:eastAsia="仿宋_GB2312" w:cs="Times New Roman"/>
                <w:bCs/>
                <w:color w:val="auto"/>
                <w:sz w:val="24"/>
                <w:highlight w:val="none"/>
                <w:lang w:eastAsia="zh-CN"/>
              </w:rPr>
              <w:t>响应</w:t>
            </w:r>
            <w:r>
              <w:rPr>
                <w:rFonts w:hint="eastAsia" w:ascii="Times New Roman" w:hAnsi="Times New Roman" w:eastAsia="仿宋_GB2312" w:cs="Times New Roman"/>
                <w:bCs/>
                <w:color w:val="auto"/>
                <w:sz w:val="24"/>
                <w:highlight w:val="none"/>
              </w:rPr>
              <w:t>文件递交</w:t>
            </w:r>
            <w:r>
              <w:rPr>
                <w:rFonts w:hint="eastAsia" w:ascii="Times New Roman" w:hAnsi="Times New Roman" w:eastAsia="仿宋_GB2312" w:cs="Times New Roman"/>
                <w:bCs/>
                <w:color w:val="auto"/>
                <w:sz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p>
        </w:tc>
      </w:tr>
      <w:tr w14:paraId="519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textDirection w:val="tbRlV"/>
            <w:vAlign w:val="center"/>
          </w:tcPr>
          <w:p w14:paraId="1A82840B">
            <w:pPr>
              <w:ind w:left="113" w:right="113"/>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1930EC85">
            <w:pPr>
              <w:rPr>
                <w:rFonts w:hint="default" w:ascii="Times New Roman" w:hAnsi="Times New Roman" w:eastAsia="仿宋_GB2312" w:cs="Times New Roman"/>
                <w:b w:val="0"/>
                <w:bCs/>
                <w:color w:val="auto"/>
                <w:kern w:val="20"/>
                <w:sz w:val="24"/>
                <w:szCs w:val="24"/>
                <w:highlight w:val="none"/>
                <w:lang w:val="en-US" w:eastAsia="zh-CN" w:bidi="ar-SA"/>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rPr>
              <w:t>文件</w:t>
            </w:r>
            <w:r>
              <w:rPr>
                <w:rFonts w:hint="eastAsia" w:ascii="Times New Roman" w:hAnsi="Times New Roman" w:eastAsia="仿宋_GB2312" w:cs="Times New Roman"/>
                <w:b w:val="0"/>
                <w:bCs/>
                <w:color w:val="auto"/>
                <w:sz w:val="24"/>
                <w:szCs w:val="24"/>
                <w:highlight w:val="none"/>
                <w:lang w:val="en-US" w:eastAsia="zh-CN"/>
              </w:rPr>
              <w:t>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47DE824C">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rPr>
              <w:t>符合</w:t>
            </w:r>
            <w:r>
              <w:rPr>
                <w:rFonts w:hint="eastAsia" w:ascii="Times New Roman" w:hAnsi="Times New Roman" w:eastAsia="仿宋_GB2312" w:cs="Times New Roman"/>
                <w:b w:val="0"/>
                <w:bCs/>
                <w:color w:val="auto"/>
                <w:sz w:val="24"/>
                <w:szCs w:val="24"/>
                <w:highlight w:val="none"/>
                <w:lang w:val="en-US" w:eastAsia="zh-CN"/>
              </w:rPr>
              <w:t>第二</w:t>
            </w:r>
            <w:r>
              <w:rPr>
                <w:rFonts w:hint="default" w:ascii="Times New Roman" w:hAnsi="Times New Roman" w:eastAsia="仿宋_GB2312" w:cs="Times New Roman"/>
                <w:b w:val="0"/>
                <w:bCs/>
                <w:color w:val="auto"/>
                <w:sz w:val="24"/>
                <w:szCs w:val="24"/>
                <w:highlight w:val="none"/>
              </w:rPr>
              <w:t>章“</w:t>
            </w: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文件要求</w:t>
            </w:r>
            <w:r>
              <w:rPr>
                <w:rFonts w:hint="default" w:ascii="Times New Roman" w:hAnsi="Times New Roman" w:eastAsia="仿宋_GB2312" w:cs="Times New Roman"/>
                <w:b w:val="0"/>
                <w:bCs/>
                <w:color w:val="auto"/>
                <w:sz w:val="24"/>
                <w:szCs w:val="24"/>
                <w:highlight w:val="none"/>
              </w:rPr>
              <w:t>”</w:t>
            </w:r>
            <w:r>
              <w:rPr>
                <w:rFonts w:hint="eastAsia" w:ascii="Times New Roman" w:hAnsi="Times New Roman" w:eastAsia="仿宋_GB2312" w:cs="Times New Roman"/>
                <w:b w:val="0"/>
                <w:bCs/>
                <w:color w:val="auto"/>
                <w:sz w:val="24"/>
                <w:szCs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r>
              <w:rPr>
                <w:rFonts w:hint="default" w:ascii="Times New Roman" w:hAnsi="Times New Roman" w:eastAsia="仿宋_GB2312" w:cs="Times New Roman"/>
                <w:b w:val="0"/>
                <w:bCs/>
                <w:color w:val="auto"/>
                <w:sz w:val="24"/>
                <w:szCs w:val="24"/>
                <w:highlight w:val="none"/>
              </w:rPr>
              <w:t>。</w:t>
            </w:r>
          </w:p>
        </w:tc>
      </w:tr>
      <w:tr w14:paraId="519C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vAlign w:val="center"/>
          </w:tcPr>
          <w:p w14:paraId="5D1BBADB">
            <w:pPr>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2AA46A25">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2092625E">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附件齐全且未做</w:t>
            </w:r>
            <w:r>
              <w:rPr>
                <w:rFonts w:hint="eastAsia" w:ascii="Times New Roman" w:hAnsi="Times New Roman" w:eastAsia="仿宋_GB2312" w:cs="Times New Roman"/>
                <w:bCs/>
                <w:color w:val="auto"/>
                <w:sz w:val="24"/>
                <w:highlight w:val="none"/>
              </w:rPr>
              <w:t>实质性修改</w:t>
            </w:r>
            <w:r>
              <w:rPr>
                <w:rFonts w:hint="default" w:ascii="Times New Roman" w:hAnsi="Times New Roman" w:eastAsia="仿宋_GB2312" w:cs="Times New Roman"/>
                <w:b w:val="0"/>
                <w:bCs/>
                <w:color w:val="auto"/>
                <w:sz w:val="24"/>
                <w:szCs w:val="24"/>
                <w:highlight w:val="none"/>
                <w:lang w:val="en-US" w:eastAsia="zh-CN"/>
              </w:rPr>
              <w:t>（签署</w:t>
            </w:r>
            <w:r>
              <w:rPr>
                <w:rFonts w:hint="eastAsia" w:ascii="Times New Roman" w:hAnsi="Times New Roman" w:eastAsia="仿宋_GB2312" w:cs="Times New Roman"/>
                <w:b w:val="0"/>
                <w:bCs/>
                <w:color w:val="auto"/>
                <w:sz w:val="24"/>
                <w:szCs w:val="24"/>
                <w:highlight w:val="none"/>
                <w:lang w:val="en-US" w:eastAsia="zh-CN"/>
              </w:rPr>
              <w:t>附件1-4</w:t>
            </w:r>
            <w:r>
              <w:rPr>
                <w:rFonts w:hint="default" w:ascii="Times New Roman" w:hAnsi="Times New Roman" w:eastAsia="仿宋_GB2312" w:cs="Times New Roman"/>
                <w:b w:val="0"/>
                <w:bCs/>
                <w:color w:val="auto"/>
                <w:sz w:val="24"/>
                <w:szCs w:val="24"/>
                <w:highlight w:val="none"/>
                <w:lang w:val="en-US" w:eastAsia="zh-CN"/>
              </w:rPr>
              <w:t>）</w:t>
            </w:r>
          </w:p>
        </w:tc>
      </w:tr>
    </w:tbl>
    <w:p w14:paraId="7264AA2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注意：响应文件中的大写金额与小写金额不一致的，以大写金额为准；</w:t>
      </w:r>
    </w:p>
    <w:p w14:paraId="0FE6578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（二）综合评价</w:t>
      </w:r>
    </w:p>
    <w:p w14:paraId="3A52BBCC">
      <w:p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1.评分标准</w:t>
      </w:r>
    </w:p>
    <w:p w14:paraId="07EDDA82">
      <w:pPr>
        <w:spacing w:line="578" w:lineRule="exact"/>
        <w:ind w:firstLine="64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（1）综合评价的《评分标准表》如下：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127"/>
        <w:gridCol w:w="5607"/>
      </w:tblGrid>
      <w:tr w14:paraId="2920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2" w:type="dxa"/>
            <w:vAlign w:val="center"/>
          </w:tcPr>
          <w:p w14:paraId="0A3C703A">
            <w:pPr>
              <w:widowControl/>
              <w:spacing w:line="240" w:lineRule="auto"/>
              <w:jc w:val="center"/>
              <w:rPr>
                <w:rFonts w:ascii="仿宋" w:hAnsi="仿宋" w:eastAsia="仿宋" w:cs="Segoe UI"/>
                <w:b/>
                <w:color w:val="0F1115"/>
                <w:sz w:val="24"/>
              </w:rPr>
            </w:pPr>
            <w:r>
              <w:rPr>
                <w:rFonts w:hint="eastAsia" w:ascii="仿宋" w:hAnsi="仿宋" w:eastAsia="仿宋" w:cs="Segoe UI"/>
                <w:b/>
                <w:color w:val="0F1115"/>
                <w:sz w:val="24"/>
              </w:rPr>
              <w:t>序</w:t>
            </w:r>
            <w:r>
              <w:rPr>
                <w:rFonts w:ascii="仿宋" w:hAnsi="仿宋" w:eastAsia="仿宋" w:cs="Segoe UI"/>
                <w:b/>
                <w:color w:val="0F1115"/>
                <w:sz w:val="24"/>
              </w:rPr>
              <w:t>号</w:t>
            </w:r>
          </w:p>
        </w:tc>
        <w:tc>
          <w:tcPr>
            <w:tcW w:w="2127" w:type="dxa"/>
            <w:vAlign w:val="center"/>
          </w:tcPr>
          <w:p w14:paraId="7908626A">
            <w:pPr>
              <w:spacing w:line="240" w:lineRule="auto"/>
              <w:jc w:val="center"/>
              <w:rPr>
                <w:rFonts w:ascii="仿宋" w:hAnsi="仿宋" w:eastAsia="仿宋" w:cs="Segoe UI"/>
                <w:b/>
                <w:color w:val="0F1115"/>
                <w:sz w:val="24"/>
              </w:rPr>
            </w:pPr>
            <w:r>
              <w:rPr>
                <w:rFonts w:ascii="仿宋" w:hAnsi="仿宋" w:eastAsia="仿宋" w:cs="Segoe UI"/>
                <w:b/>
                <w:color w:val="0F1115"/>
                <w:sz w:val="24"/>
              </w:rPr>
              <w:t>评审内容</w:t>
            </w:r>
          </w:p>
        </w:tc>
        <w:tc>
          <w:tcPr>
            <w:tcW w:w="5607" w:type="dxa"/>
            <w:vAlign w:val="center"/>
          </w:tcPr>
          <w:p w14:paraId="025BE357">
            <w:pPr>
              <w:spacing w:line="240" w:lineRule="auto"/>
              <w:jc w:val="center"/>
              <w:rPr>
                <w:rFonts w:ascii="仿宋" w:hAnsi="仿宋" w:eastAsia="仿宋" w:cs="Segoe UI"/>
                <w:b/>
                <w:color w:val="0F1115"/>
                <w:sz w:val="24"/>
              </w:rPr>
            </w:pPr>
            <w:r>
              <w:rPr>
                <w:rFonts w:ascii="仿宋" w:hAnsi="仿宋" w:eastAsia="仿宋" w:cs="Segoe UI"/>
                <w:b/>
                <w:color w:val="0F1115"/>
                <w:sz w:val="24"/>
              </w:rPr>
              <w:t>评分标准</w:t>
            </w:r>
          </w:p>
        </w:tc>
      </w:tr>
      <w:tr w14:paraId="5870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3"/>
            <w:vAlign w:val="center"/>
          </w:tcPr>
          <w:p w14:paraId="7690DFFC">
            <w:pPr>
              <w:spacing w:line="240" w:lineRule="auto"/>
              <w:jc w:val="center"/>
              <w:rPr>
                <w:rFonts w:ascii="仿宋" w:hAnsi="仿宋" w:eastAsia="仿宋" w:cs="Segoe UI"/>
                <w:b/>
                <w:color w:val="0F1115"/>
                <w:sz w:val="24"/>
              </w:rPr>
            </w:pPr>
            <w:r>
              <w:rPr>
                <w:rFonts w:hint="eastAsia" w:ascii="仿宋" w:hAnsi="仿宋" w:eastAsia="仿宋" w:cs="Segoe UI"/>
                <w:b/>
                <w:color w:val="0F1115"/>
                <w:sz w:val="24"/>
              </w:rPr>
              <w:t>商务部分（2</w:t>
            </w:r>
            <w:r>
              <w:rPr>
                <w:rFonts w:ascii="仿宋" w:hAnsi="仿宋" w:eastAsia="仿宋" w:cs="Segoe UI"/>
                <w:b/>
                <w:color w:val="0F1115"/>
                <w:sz w:val="24"/>
              </w:rPr>
              <w:t>0</w:t>
            </w:r>
            <w:r>
              <w:rPr>
                <w:rFonts w:hint="eastAsia" w:ascii="仿宋" w:hAnsi="仿宋" w:eastAsia="仿宋" w:cs="Segoe UI"/>
                <w:b/>
                <w:color w:val="0F1115"/>
                <w:sz w:val="24"/>
              </w:rPr>
              <w:t>分）</w:t>
            </w:r>
          </w:p>
        </w:tc>
      </w:tr>
      <w:tr w14:paraId="7448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562" w:type="dxa"/>
            <w:vAlign w:val="center"/>
          </w:tcPr>
          <w:p w14:paraId="3C9D8272">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1</w:t>
            </w:r>
          </w:p>
        </w:tc>
        <w:tc>
          <w:tcPr>
            <w:tcW w:w="2127" w:type="dxa"/>
            <w:vAlign w:val="center"/>
          </w:tcPr>
          <w:p w14:paraId="377A59D0">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报价(20分)</w:t>
            </w:r>
          </w:p>
        </w:tc>
        <w:tc>
          <w:tcPr>
            <w:tcW w:w="5607" w:type="dxa"/>
            <w:vAlign w:val="center"/>
          </w:tcPr>
          <w:p w14:paraId="1D65E363">
            <w:pPr>
              <w:spacing w:line="240" w:lineRule="auto"/>
              <w:rPr>
                <w:rFonts w:ascii="仿宋" w:hAnsi="仿宋" w:eastAsia="仿宋" w:cs="Segoe UI"/>
                <w:color w:val="0F1115"/>
                <w:sz w:val="24"/>
              </w:rPr>
            </w:pPr>
            <w:r>
              <w:rPr>
                <w:rFonts w:ascii="仿宋" w:hAnsi="仿宋" w:eastAsia="仿宋" w:cs="Segoe UI"/>
                <w:color w:val="0F1115"/>
                <w:sz w:val="24"/>
              </w:rPr>
              <w:t>1.采购确定的上限价为人民币</w:t>
            </w:r>
            <w:r>
              <w:rPr>
                <w:rFonts w:hint="eastAsia" w:ascii="仿宋" w:hAnsi="仿宋" w:eastAsia="仿宋" w:cs="Segoe UI"/>
                <w:color w:val="0F1115"/>
                <w:sz w:val="24"/>
              </w:rPr>
              <w:t>【</w:t>
            </w:r>
            <w:r>
              <w:rPr>
                <w:rFonts w:hint="eastAsia" w:ascii="仿宋" w:hAnsi="仿宋" w:eastAsia="仿宋" w:cs="Segoe UI"/>
                <w:color w:val="0F1115"/>
                <w:sz w:val="24"/>
                <w:lang w:val="en-US" w:eastAsia="zh-CN"/>
              </w:rPr>
              <w:t>25</w:t>
            </w:r>
            <w:r>
              <w:rPr>
                <w:rFonts w:hint="eastAsia" w:ascii="仿宋" w:hAnsi="仿宋" w:eastAsia="仿宋" w:cs="Segoe UI"/>
                <w:color w:val="0F1115"/>
                <w:sz w:val="24"/>
              </w:rPr>
              <w:t>】</w:t>
            </w:r>
            <w:r>
              <w:rPr>
                <w:rFonts w:ascii="仿宋" w:hAnsi="仿宋" w:eastAsia="仿宋" w:cs="Segoe UI"/>
                <w:color w:val="0F1115"/>
                <w:sz w:val="24"/>
              </w:rPr>
              <w:t>万元</w:t>
            </w:r>
            <w:r>
              <w:rPr>
                <w:rFonts w:hint="eastAsia" w:ascii="仿宋" w:hAnsi="仿宋" w:eastAsia="仿宋" w:cs="Segoe UI"/>
                <w:color w:val="0F1115"/>
                <w:sz w:val="24"/>
                <w:lang w:val="en-US" w:eastAsia="zh-CN"/>
              </w:rPr>
              <w:t>/年（含税），三年总价为【75】万元（含税）</w:t>
            </w:r>
            <w:r>
              <w:rPr>
                <w:rFonts w:ascii="仿宋" w:hAnsi="仿宋" w:eastAsia="仿宋" w:cs="Segoe UI"/>
                <w:color w:val="0F1115"/>
                <w:sz w:val="24"/>
              </w:rPr>
              <w:t>。投标人的报价如超过上限价，将作为无效标处理，同时其报价不计入评标基准价的计算。</w:t>
            </w:r>
            <w:r>
              <w:rPr>
                <w:rFonts w:hint="eastAsia" w:ascii="仿宋" w:hAnsi="仿宋" w:eastAsia="仿宋" w:cs="Segoe UI"/>
                <w:color w:val="0F1115"/>
                <w:sz w:val="24"/>
                <w:lang w:val="en-US" w:eastAsia="zh-CN"/>
              </w:rPr>
              <w:t xml:space="preserve"> </w:t>
            </w:r>
            <w:r>
              <w:rPr>
                <w:rFonts w:ascii="仿宋" w:hAnsi="仿宋" w:eastAsia="仿宋" w:cs="Segoe UI"/>
                <w:color w:val="0F1115"/>
                <w:sz w:val="24"/>
              </w:rPr>
              <w:br w:type="textWrapping"/>
            </w:r>
            <w:r>
              <w:rPr>
                <w:rFonts w:ascii="仿宋" w:hAnsi="仿宋" w:eastAsia="仿宋" w:cs="Segoe UI"/>
                <w:color w:val="0F1115"/>
                <w:sz w:val="24"/>
              </w:rPr>
              <w:t>2.评标基准价：满足采购文件要求的所有投标人评标费用报价的平均值。</w:t>
            </w:r>
            <w:r>
              <w:rPr>
                <w:rFonts w:ascii="仿宋" w:hAnsi="仿宋" w:eastAsia="仿宋" w:cs="Segoe UI"/>
                <w:color w:val="0F1115"/>
                <w:sz w:val="24"/>
              </w:rPr>
              <w:br w:type="textWrapping"/>
            </w:r>
            <w:r>
              <w:rPr>
                <w:rFonts w:ascii="仿宋" w:hAnsi="仿宋" w:eastAsia="仿宋" w:cs="Segoe UI"/>
                <w:color w:val="0F1115"/>
                <w:sz w:val="24"/>
              </w:rPr>
              <w:t>3.报价得分计算</w:t>
            </w:r>
            <w:r>
              <w:rPr>
                <w:rFonts w:hint="eastAsia" w:ascii="仿宋" w:hAnsi="仿宋" w:eastAsia="仿宋" w:cs="Segoe UI"/>
                <w:color w:val="0F1115"/>
                <w:sz w:val="24"/>
              </w:rPr>
              <w:t>方式：投标人报价偏离评标基准价的，每偏离1</w:t>
            </w:r>
            <w:r>
              <w:rPr>
                <w:rFonts w:ascii="仿宋" w:hAnsi="仿宋" w:eastAsia="仿宋" w:cs="Segoe UI"/>
                <w:color w:val="0F1115"/>
                <w:sz w:val="24"/>
              </w:rPr>
              <w:t>%</w:t>
            </w:r>
            <w:r>
              <w:rPr>
                <w:rFonts w:hint="eastAsia" w:ascii="仿宋" w:hAnsi="仿宋" w:eastAsia="仿宋" w:cs="Segoe UI"/>
                <w:color w:val="0F1115"/>
                <w:sz w:val="24"/>
              </w:rPr>
              <w:t>，在报价总分2</w:t>
            </w:r>
            <w:r>
              <w:rPr>
                <w:rFonts w:ascii="仿宋" w:hAnsi="仿宋" w:eastAsia="仿宋" w:cs="Segoe UI"/>
                <w:color w:val="0F1115"/>
                <w:sz w:val="24"/>
              </w:rPr>
              <w:t>0</w:t>
            </w:r>
            <w:r>
              <w:rPr>
                <w:rFonts w:hint="eastAsia" w:ascii="仿宋" w:hAnsi="仿宋" w:eastAsia="仿宋" w:cs="Segoe UI"/>
                <w:color w:val="0F1115"/>
                <w:sz w:val="24"/>
              </w:rPr>
              <w:t>分的基础上扣0</w:t>
            </w:r>
            <w:r>
              <w:rPr>
                <w:rFonts w:ascii="仿宋" w:hAnsi="仿宋" w:eastAsia="仿宋" w:cs="Segoe UI"/>
                <w:color w:val="0F1115"/>
                <w:sz w:val="24"/>
              </w:rPr>
              <w:t>.2</w:t>
            </w:r>
            <w:r>
              <w:rPr>
                <w:rFonts w:hint="eastAsia" w:ascii="仿宋" w:hAnsi="仿宋" w:eastAsia="仿宋" w:cs="Segoe UI"/>
                <w:color w:val="0F1115"/>
                <w:sz w:val="24"/>
              </w:rPr>
              <w:t>分。</w:t>
            </w:r>
          </w:p>
        </w:tc>
      </w:tr>
      <w:tr w14:paraId="2FE7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3"/>
            <w:vAlign w:val="center"/>
          </w:tcPr>
          <w:p w14:paraId="641AB783">
            <w:pPr>
              <w:spacing w:line="240" w:lineRule="auto"/>
              <w:jc w:val="center"/>
              <w:rPr>
                <w:rFonts w:ascii="仿宋" w:hAnsi="仿宋" w:eastAsia="仿宋" w:cs="Segoe UI"/>
                <w:color w:val="0F1115"/>
                <w:sz w:val="24"/>
              </w:rPr>
            </w:pPr>
            <w:r>
              <w:rPr>
                <w:rStyle w:val="19"/>
                <w:rFonts w:hint="eastAsia" w:ascii="仿宋" w:hAnsi="仿宋" w:eastAsia="仿宋" w:cs="Segoe UI"/>
                <w:color w:val="0F1115"/>
                <w:sz w:val="24"/>
              </w:rPr>
              <w:t>技术</w:t>
            </w:r>
            <w:r>
              <w:rPr>
                <w:rStyle w:val="19"/>
                <w:rFonts w:ascii="仿宋" w:hAnsi="仿宋" w:eastAsia="仿宋" w:cs="Segoe UI"/>
                <w:color w:val="0F1115"/>
                <w:sz w:val="24"/>
              </w:rPr>
              <w:t>部分（80分）</w:t>
            </w:r>
          </w:p>
        </w:tc>
      </w:tr>
      <w:tr w14:paraId="1D9E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562" w:type="dxa"/>
            <w:vAlign w:val="center"/>
          </w:tcPr>
          <w:p w14:paraId="6800DAEF">
            <w:pPr>
              <w:spacing w:line="240" w:lineRule="auto"/>
              <w:jc w:val="center"/>
              <w:rPr>
                <w:rFonts w:ascii="仿宋" w:hAnsi="仿宋" w:eastAsia="仿宋" w:cs="Segoe UI"/>
                <w:color w:val="0F1115"/>
                <w:sz w:val="24"/>
              </w:rPr>
            </w:pPr>
            <w:r>
              <w:rPr>
                <w:rStyle w:val="19"/>
                <w:rFonts w:ascii="仿宋" w:hAnsi="仿宋" w:eastAsia="仿宋"/>
                <w:sz w:val="24"/>
              </w:rPr>
              <w:t>2</w:t>
            </w:r>
          </w:p>
        </w:tc>
        <w:tc>
          <w:tcPr>
            <w:tcW w:w="2127" w:type="dxa"/>
            <w:vAlign w:val="center"/>
          </w:tcPr>
          <w:p w14:paraId="7CFF6675">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公司实力(1</w:t>
            </w:r>
            <w:r>
              <w:rPr>
                <w:rStyle w:val="19"/>
                <w:rFonts w:hint="eastAsia" w:ascii="仿宋" w:hAnsi="仿宋" w:eastAsia="仿宋" w:cs="Segoe UI"/>
                <w:color w:val="0F1115"/>
                <w:sz w:val="24"/>
                <w:lang w:val="en-US" w:eastAsia="zh-CN"/>
              </w:rPr>
              <w:t>5</w:t>
            </w:r>
            <w:r>
              <w:rPr>
                <w:rStyle w:val="19"/>
                <w:rFonts w:ascii="仿宋" w:hAnsi="仿宋" w:eastAsia="仿宋" w:cs="Segoe UI"/>
                <w:color w:val="0F1115"/>
                <w:sz w:val="24"/>
              </w:rPr>
              <w:t>分)</w:t>
            </w:r>
          </w:p>
        </w:tc>
        <w:tc>
          <w:tcPr>
            <w:tcW w:w="5607" w:type="dxa"/>
            <w:vAlign w:val="center"/>
          </w:tcPr>
          <w:p w14:paraId="68B7852D">
            <w:pPr>
              <w:spacing w:line="240" w:lineRule="auto"/>
              <w:rPr>
                <w:rFonts w:ascii="仿宋" w:hAnsi="仿宋" w:eastAsia="仿宋" w:cs="Segoe UI"/>
                <w:color w:val="0F1115"/>
                <w:sz w:val="24"/>
              </w:rPr>
            </w:pPr>
            <w:r>
              <w:rPr>
                <w:rStyle w:val="19"/>
                <w:rFonts w:ascii="仿宋" w:hAnsi="仿宋" w:eastAsia="仿宋" w:cs="Segoe UI"/>
                <w:color w:val="0F1115"/>
                <w:sz w:val="24"/>
              </w:rPr>
              <w:t>项目承揽情况</w:t>
            </w:r>
            <w:r>
              <w:rPr>
                <w:rStyle w:val="19"/>
                <w:rFonts w:hint="eastAsia" w:ascii="仿宋" w:hAnsi="仿宋" w:eastAsia="仿宋" w:cs="Segoe UI"/>
                <w:color w:val="0F1115"/>
                <w:sz w:val="24"/>
              </w:rPr>
              <w:t>（</w:t>
            </w:r>
            <w:r>
              <w:rPr>
                <w:rStyle w:val="19"/>
                <w:rFonts w:ascii="仿宋" w:hAnsi="仿宋" w:eastAsia="仿宋" w:cs="Segoe UI"/>
                <w:color w:val="0F1115"/>
                <w:sz w:val="24"/>
              </w:rPr>
              <w:t>1</w:t>
            </w:r>
            <w:r>
              <w:rPr>
                <w:rStyle w:val="19"/>
                <w:rFonts w:hint="eastAsia" w:ascii="仿宋" w:hAnsi="仿宋" w:eastAsia="仿宋" w:cs="Segoe UI"/>
                <w:color w:val="0F1115"/>
                <w:sz w:val="24"/>
                <w:lang w:val="en-US" w:eastAsia="zh-CN"/>
              </w:rPr>
              <w:t>5</w:t>
            </w:r>
            <w:r>
              <w:rPr>
                <w:rStyle w:val="19"/>
                <w:rFonts w:ascii="仿宋" w:hAnsi="仿宋" w:eastAsia="仿宋" w:cs="Segoe UI"/>
                <w:color w:val="0F1115"/>
                <w:sz w:val="24"/>
              </w:rPr>
              <w:t>分</w:t>
            </w:r>
            <w:r>
              <w:rPr>
                <w:rStyle w:val="19"/>
                <w:rFonts w:hint="eastAsia" w:ascii="仿宋" w:hAnsi="仿宋" w:eastAsia="仿宋" w:cs="Segoe UI"/>
                <w:color w:val="0F1115"/>
                <w:sz w:val="24"/>
              </w:rPr>
              <w:t>）：</w:t>
            </w:r>
            <w:r>
              <w:rPr>
                <w:rFonts w:ascii="仿宋" w:hAnsi="仿宋" w:eastAsia="仿宋" w:cs="Segoe UI"/>
                <w:color w:val="0F1115"/>
                <w:sz w:val="24"/>
              </w:rPr>
              <w:br w:type="textWrapping"/>
            </w:r>
            <w:r>
              <w:rPr>
                <w:rFonts w:hint="eastAsia" w:ascii="仿宋" w:hAnsi="仿宋" w:eastAsia="仿宋" w:cs="Segoe UI"/>
                <w:color w:val="0F1115"/>
                <w:sz w:val="24"/>
              </w:rPr>
              <w:t>根据202</w:t>
            </w:r>
            <w:r>
              <w:rPr>
                <w:rFonts w:hint="eastAsia" w:ascii="仿宋" w:hAnsi="仿宋" w:eastAsia="仿宋" w:cs="Segoe UI"/>
                <w:color w:val="0F1115"/>
                <w:sz w:val="24"/>
                <w:lang w:val="en-US" w:eastAsia="zh-CN"/>
              </w:rPr>
              <w:t>4</w:t>
            </w:r>
            <w:r>
              <w:rPr>
                <w:rFonts w:hint="eastAsia" w:ascii="仿宋" w:hAnsi="仿宋" w:eastAsia="仿宋" w:cs="Segoe UI"/>
                <w:color w:val="0F1115"/>
                <w:sz w:val="24"/>
              </w:rPr>
              <w:t>年</w:t>
            </w:r>
            <w:r>
              <w:rPr>
                <w:rFonts w:hint="eastAsia" w:ascii="仿宋" w:hAnsi="仿宋" w:eastAsia="仿宋" w:cs="Segoe UI"/>
                <w:color w:val="0F1115"/>
                <w:sz w:val="24"/>
                <w:lang w:val="en-US" w:eastAsia="zh-CN"/>
              </w:rPr>
              <w:t>全年</w:t>
            </w:r>
            <w:r>
              <w:rPr>
                <w:rFonts w:hint="eastAsia" w:ascii="仿宋" w:hAnsi="仿宋" w:eastAsia="仿宋" w:cs="Segoe UI"/>
                <w:color w:val="0F1115"/>
                <w:sz w:val="24"/>
              </w:rPr>
              <w:t>及2025年一季度在全国范围内承做的主体评级数量的排名（以证券业协会与交易商协会联合发布的2024年1-4季度、2025年1季度《债券市场信用评级机构业务运行及合规情况通报》数据为准）进行评分（每季度3分）</w:t>
            </w:r>
          </w:p>
        </w:tc>
      </w:tr>
      <w:tr w14:paraId="675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562" w:type="dxa"/>
            <w:vAlign w:val="center"/>
          </w:tcPr>
          <w:p w14:paraId="17718539">
            <w:pPr>
              <w:spacing w:line="240" w:lineRule="auto"/>
              <w:jc w:val="center"/>
              <w:rPr>
                <w:rFonts w:ascii="仿宋" w:hAnsi="仿宋" w:eastAsia="仿宋" w:cs="Segoe UI"/>
                <w:color w:val="0F1115"/>
                <w:sz w:val="24"/>
              </w:rPr>
            </w:pPr>
            <w:r>
              <w:rPr>
                <w:rStyle w:val="19"/>
                <w:rFonts w:ascii="仿宋" w:hAnsi="仿宋" w:eastAsia="仿宋"/>
                <w:sz w:val="24"/>
              </w:rPr>
              <w:t>3</w:t>
            </w:r>
          </w:p>
        </w:tc>
        <w:tc>
          <w:tcPr>
            <w:tcW w:w="2127" w:type="dxa"/>
            <w:vAlign w:val="center"/>
          </w:tcPr>
          <w:p w14:paraId="59369D1D">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业绩经验(10分)</w:t>
            </w:r>
          </w:p>
        </w:tc>
        <w:tc>
          <w:tcPr>
            <w:tcW w:w="5607" w:type="dxa"/>
            <w:vAlign w:val="center"/>
          </w:tcPr>
          <w:p w14:paraId="36F6C806">
            <w:pPr>
              <w:spacing w:line="240" w:lineRule="auto"/>
              <w:rPr>
                <w:rFonts w:ascii="仿宋" w:hAnsi="仿宋" w:eastAsia="仿宋" w:cs="Segoe UI"/>
                <w:b/>
                <w:color w:val="0F1115"/>
                <w:sz w:val="24"/>
              </w:rPr>
            </w:pPr>
            <w:r>
              <w:rPr>
                <w:rFonts w:hint="eastAsia" w:ascii="仿宋" w:hAnsi="仿宋" w:eastAsia="仿宋" w:cs="Segoe UI"/>
                <w:b/>
                <w:color w:val="0F1115"/>
                <w:sz w:val="24"/>
              </w:rPr>
              <w:t>国有企业评级经验（</w:t>
            </w:r>
            <w:r>
              <w:rPr>
                <w:rStyle w:val="19"/>
                <w:rFonts w:ascii="仿宋" w:hAnsi="仿宋" w:eastAsia="仿宋" w:cs="Segoe UI"/>
                <w:b w:val="0"/>
                <w:color w:val="0F1115"/>
                <w:sz w:val="24"/>
              </w:rPr>
              <w:t>10分</w:t>
            </w:r>
            <w:r>
              <w:rPr>
                <w:rStyle w:val="19"/>
                <w:rFonts w:hint="eastAsia" w:ascii="仿宋" w:hAnsi="仿宋" w:eastAsia="仿宋" w:cs="Segoe UI"/>
                <w:b w:val="0"/>
                <w:color w:val="0F1115"/>
                <w:sz w:val="24"/>
              </w:rPr>
              <w:t>）</w:t>
            </w:r>
            <w:r>
              <w:rPr>
                <w:rFonts w:hint="eastAsia" w:ascii="仿宋" w:hAnsi="仿宋" w:eastAsia="仿宋" w:cs="Segoe UI"/>
                <w:b/>
                <w:color w:val="0F1115"/>
                <w:sz w:val="24"/>
              </w:rPr>
              <w:t>：</w:t>
            </w:r>
          </w:p>
          <w:p w14:paraId="4FF41991">
            <w:pPr>
              <w:spacing w:line="240" w:lineRule="auto"/>
              <w:rPr>
                <w:rFonts w:ascii="仿宋" w:hAnsi="仿宋" w:eastAsia="仿宋" w:cs="Segoe UI"/>
                <w:color w:val="0F1115"/>
                <w:sz w:val="24"/>
              </w:rPr>
            </w:pPr>
            <w:r>
              <w:rPr>
                <w:rFonts w:ascii="仿宋" w:hAnsi="仿宋" w:eastAsia="仿宋" w:cs="Segoe UI"/>
                <w:color w:val="0F1115"/>
                <w:sz w:val="24"/>
              </w:rPr>
              <w:t>参选人提供自2023年1月1日至今（以合同签订时间为准），承做国有企业信用评级服务项目的案例，每例得2分，最高得10分。</w:t>
            </w:r>
            <w:r>
              <w:rPr>
                <w:rFonts w:ascii="仿宋" w:hAnsi="仿宋" w:eastAsia="仿宋" w:cs="Segoe UI"/>
                <w:color w:val="0F1115"/>
                <w:sz w:val="24"/>
              </w:rPr>
              <w:br w:type="textWrapping"/>
            </w:r>
            <w:r>
              <w:rPr>
                <w:rFonts w:ascii="仿宋" w:hAnsi="仿宋" w:eastAsia="仿宋" w:cs="Segoe UI"/>
                <w:color w:val="0F1115"/>
                <w:sz w:val="24"/>
              </w:rPr>
              <w:t>【注：需在参选文件中提供相关项目的合同关键页</w:t>
            </w:r>
            <w:r>
              <w:rPr>
                <w:rFonts w:hint="eastAsia" w:ascii="仿宋" w:hAnsi="仿宋" w:eastAsia="仿宋" w:cs="Segoe UI"/>
                <w:color w:val="0F1115"/>
                <w:sz w:val="24"/>
              </w:rPr>
              <w:t>和评级报告关键页</w:t>
            </w:r>
            <w:r>
              <w:rPr>
                <w:rFonts w:ascii="仿宋" w:hAnsi="仿宋" w:eastAsia="仿宋" w:cs="Segoe UI"/>
                <w:color w:val="0F1115"/>
                <w:sz w:val="24"/>
              </w:rPr>
              <w:t>，没有提供或提供的材料不满足要求的不得分。】</w:t>
            </w:r>
          </w:p>
        </w:tc>
      </w:tr>
      <w:tr w14:paraId="0588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562" w:type="dxa"/>
            <w:vAlign w:val="center"/>
          </w:tcPr>
          <w:p w14:paraId="4A057638">
            <w:pPr>
              <w:spacing w:line="240" w:lineRule="auto"/>
              <w:jc w:val="center"/>
              <w:rPr>
                <w:rStyle w:val="19"/>
                <w:rFonts w:ascii="仿宋" w:hAnsi="仿宋" w:eastAsia="仿宋"/>
                <w:sz w:val="24"/>
              </w:rPr>
            </w:pPr>
            <w:r>
              <w:rPr>
                <w:rStyle w:val="19"/>
                <w:rFonts w:hint="eastAsia" w:ascii="仿宋" w:hAnsi="仿宋" w:eastAsia="仿宋"/>
                <w:sz w:val="24"/>
              </w:rPr>
              <w:t>4</w:t>
            </w:r>
          </w:p>
        </w:tc>
        <w:tc>
          <w:tcPr>
            <w:tcW w:w="2127" w:type="dxa"/>
            <w:vAlign w:val="center"/>
          </w:tcPr>
          <w:p w14:paraId="2E0D8401">
            <w:pPr>
              <w:spacing w:line="240" w:lineRule="auto"/>
              <w:jc w:val="center"/>
              <w:rPr>
                <w:rStyle w:val="19"/>
                <w:rFonts w:ascii="仿宋" w:hAnsi="仿宋" w:eastAsia="仿宋" w:cs="Segoe UI"/>
                <w:color w:val="0F1115"/>
                <w:sz w:val="24"/>
              </w:rPr>
            </w:pPr>
            <w:r>
              <w:rPr>
                <w:rStyle w:val="19"/>
                <w:rFonts w:hint="eastAsia" w:ascii="仿宋" w:hAnsi="仿宋" w:eastAsia="仿宋" w:cs="Segoe UI"/>
                <w:color w:val="0F1115"/>
                <w:sz w:val="24"/>
              </w:rPr>
              <w:t>监管评价（</w:t>
            </w:r>
            <w:r>
              <w:rPr>
                <w:rStyle w:val="19"/>
                <w:rFonts w:hint="eastAsia" w:ascii="仿宋" w:hAnsi="仿宋" w:eastAsia="仿宋" w:cs="Segoe UI"/>
                <w:color w:val="0F1115"/>
                <w:sz w:val="24"/>
                <w:lang w:val="en-US" w:eastAsia="zh-CN"/>
              </w:rPr>
              <w:t>15</w:t>
            </w:r>
            <w:r>
              <w:rPr>
                <w:rStyle w:val="19"/>
                <w:rFonts w:hint="eastAsia" w:ascii="仿宋" w:hAnsi="仿宋" w:eastAsia="仿宋" w:cs="Segoe UI"/>
                <w:color w:val="0F1115"/>
                <w:sz w:val="24"/>
              </w:rPr>
              <w:t>分）</w:t>
            </w:r>
          </w:p>
        </w:tc>
        <w:tc>
          <w:tcPr>
            <w:tcW w:w="5607" w:type="dxa"/>
            <w:vAlign w:val="center"/>
          </w:tcPr>
          <w:p w14:paraId="396126DF">
            <w:pPr>
              <w:pStyle w:val="14"/>
              <w:spacing w:before="0" w:beforeAutospacing="0" w:after="0" w:afterAutospacing="0" w:line="240" w:lineRule="auto"/>
              <w:rPr>
                <w:rFonts w:ascii="仿宋" w:hAnsi="仿宋" w:eastAsia="仿宋" w:cs="Segoe UI"/>
                <w:b/>
                <w:color w:val="0F1115"/>
                <w:kern w:val="2"/>
              </w:rPr>
            </w:pPr>
            <w:r>
              <w:rPr>
                <w:rFonts w:ascii="仿宋" w:hAnsi="仿宋" w:eastAsia="仿宋" w:cs="Segoe UI"/>
                <w:b/>
                <w:color w:val="0F1115"/>
                <w:kern w:val="2"/>
              </w:rPr>
              <w:t>2025年度信用评级机构联合市场化评价</w:t>
            </w:r>
            <w:r>
              <w:rPr>
                <w:rFonts w:hint="eastAsia" w:ascii="仿宋" w:hAnsi="仿宋" w:eastAsia="仿宋" w:cs="Segoe UI"/>
                <w:b/>
                <w:color w:val="0F1115"/>
                <w:kern w:val="2"/>
              </w:rPr>
              <w:t>排名（</w:t>
            </w:r>
            <w:r>
              <w:rPr>
                <w:rFonts w:hint="eastAsia" w:ascii="仿宋" w:hAnsi="仿宋" w:eastAsia="仿宋" w:cs="Segoe UI"/>
                <w:b/>
                <w:color w:val="0F1115"/>
                <w:kern w:val="2"/>
                <w:lang w:val="en-US" w:eastAsia="zh-CN"/>
              </w:rPr>
              <w:t>15</w:t>
            </w:r>
            <w:r>
              <w:rPr>
                <w:rFonts w:hint="eastAsia" w:ascii="仿宋" w:hAnsi="仿宋" w:eastAsia="仿宋" w:cs="Segoe UI"/>
                <w:b/>
                <w:color w:val="0F1115"/>
                <w:kern w:val="2"/>
              </w:rPr>
              <w:t>分）：</w:t>
            </w:r>
          </w:p>
          <w:p w14:paraId="12D702D4">
            <w:pPr>
              <w:pStyle w:val="14"/>
              <w:spacing w:before="0" w:beforeAutospacing="0" w:after="0" w:afterAutospacing="0" w:line="240" w:lineRule="auto"/>
              <w:rPr>
                <w:rFonts w:ascii="仿宋" w:hAnsi="仿宋" w:eastAsia="仿宋"/>
              </w:rPr>
            </w:pPr>
            <w:r>
              <w:rPr>
                <w:rFonts w:hint="eastAsia" w:ascii="仿宋" w:hAnsi="仿宋" w:eastAsia="仿宋" w:cs="Segoe UI"/>
                <w:color w:val="0F1115"/>
                <w:kern w:val="2"/>
              </w:rPr>
              <w:t>根据交易商协会、证券业协会联合发布的《</w:t>
            </w:r>
            <w:r>
              <w:rPr>
                <w:rFonts w:ascii="仿宋" w:hAnsi="仿宋" w:eastAsia="仿宋" w:cs="Segoe UI"/>
                <w:color w:val="0F1115"/>
                <w:kern w:val="2"/>
              </w:rPr>
              <w:t>2025年度信用评级机构联合市场化评价结果</w:t>
            </w:r>
            <w:r>
              <w:rPr>
                <w:rFonts w:hint="eastAsia" w:ascii="仿宋" w:hAnsi="仿宋" w:eastAsia="仿宋" w:cs="Segoe UI"/>
                <w:color w:val="0F1115"/>
                <w:kern w:val="2"/>
              </w:rPr>
              <w:t>》排名情况进行评分，在“第二类机构”中排名第一的得1</w:t>
            </w:r>
            <w:r>
              <w:rPr>
                <w:rFonts w:ascii="仿宋" w:hAnsi="仿宋" w:eastAsia="仿宋" w:cs="Segoe UI"/>
                <w:color w:val="0F1115"/>
                <w:kern w:val="2"/>
              </w:rPr>
              <w:t>0</w:t>
            </w:r>
            <w:r>
              <w:rPr>
                <w:rFonts w:hint="eastAsia" w:ascii="仿宋" w:hAnsi="仿宋" w:eastAsia="仿宋" w:cs="Segoe UI"/>
                <w:color w:val="0F1115"/>
                <w:kern w:val="2"/>
              </w:rPr>
              <w:t>分，排名每下降一名扣减2分；位于“第三类机构”的不得分，本项最低得0分。</w:t>
            </w:r>
          </w:p>
        </w:tc>
      </w:tr>
      <w:tr w14:paraId="64BA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562" w:type="dxa"/>
            <w:vAlign w:val="center"/>
          </w:tcPr>
          <w:p w14:paraId="5A727C9A">
            <w:pPr>
              <w:spacing w:line="240" w:lineRule="auto"/>
              <w:jc w:val="center"/>
              <w:rPr>
                <w:rFonts w:ascii="仿宋" w:hAnsi="仿宋" w:eastAsia="仿宋" w:cs="Segoe UI"/>
                <w:color w:val="0F1115"/>
                <w:sz w:val="24"/>
              </w:rPr>
            </w:pPr>
            <w:r>
              <w:rPr>
                <w:rStyle w:val="19"/>
                <w:rFonts w:ascii="仿宋" w:hAnsi="仿宋" w:eastAsia="仿宋"/>
                <w:sz w:val="24"/>
              </w:rPr>
              <w:t>5</w:t>
            </w:r>
          </w:p>
        </w:tc>
        <w:tc>
          <w:tcPr>
            <w:tcW w:w="2127" w:type="dxa"/>
            <w:vAlign w:val="center"/>
          </w:tcPr>
          <w:p w14:paraId="2DEB8558">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服务方案(25分)</w:t>
            </w:r>
          </w:p>
        </w:tc>
        <w:tc>
          <w:tcPr>
            <w:tcW w:w="5607" w:type="dxa"/>
            <w:vAlign w:val="center"/>
          </w:tcPr>
          <w:p w14:paraId="0301FD5B">
            <w:pPr>
              <w:spacing w:line="240" w:lineRule="auto"/>
              <w:rPr>
                <w:rFonts w:ascii="仿宋" w:hAnsi="仿宋" w:eastAsia="仿宋" w:cs="Segoe UI"/>
                <w:color w:val="0F1115"/>
                <w:sz w:val="24"/>
              </w:rPr>
            </w:pPr>
            <w:r>
              <w:rPr>
                <w:rFonts w:ascii="仿宋" w:hAnsi="仿宋" w:eastAsia="仿宋" w:cs="Segoe UI"/>
                <w:color w:val="0F1115"/>
                <w:sz w:val="24"/>
              </w:rPr>
              <w:t>根据参选人针对本项目提供的评级服务方案的详尽程度、合理性、可行性等要素进行综合评分：</w:t>
            </w:r>
            <w:r>
              <w:rPr>
                <w:rFonts w:ascii="仿宋" w:hAnsi="仿宋" w:eastAsia="仿宋" w:cs="Segoe UI"/>
                <w:color w:val="0F1115"/>
                <w:sz w:val="24"/>
              </w:rPr>
              <w:br w:type="textWrapping"/>
            </w:r>
            <w:r>
              <w:rPr>
                <w:rFonts w:ascii="仿宋" w:hAnsi="仿宋" w:eastAsia="仿宋" w:cs="Segoe UI"/>
                <w:color w:val="0F1115"/>
                <w:sz w:val="24"/>
              </w:rPr>
              <w:t>1.整体服务方案全面、服务时效有保障、具体、科学合理、可行性强，得21-25分；</w:t>
            </w:r>
            <w:r>
              <w:rPr>
                <w:rFonts w:ascii="仿宋" w:hAnsi="仿宋" w:eastAsia="仿宋" w:cs="Segoe UI"/>
                <w:color w:val="0F1115"/>
                <w:sz w:val="24"/>
              </w:rPr>
              <w:br w:type="textWrapping"/>
            </w:r>
            <w:r>
              <w:rPr>
                <w:rFonts w:ascii="仿宋" w:hAnsi="仿宋" w:eastAsia="仿宋" w:cs="Segoe UI"/>
                <w:color w:val="0F1115"/>
                <w:sz w:val="24"/>
              </w:rPr>
              <w:t>2.整体服务方案较全面、合理、可行性较强，得16-20分；</w:t>
            </w:r>
            <w:r>
              <w:rPr>
                <w:rFonts w:ascii="仿宋" w:hAnsi="仿宋" w:eastAsia="仿宋" w:cs="Segoe UI"/>
                <w:color w:val="0F1115"/>
                <w:sz w:val="24"/>
              </w:rPr>
              <w:br w:type="textWrapping"/>
            </w:r>
            <w:r>
              <w:rPr>
                <w:rFonts w:ascii="仿宋" w:hAnsi="仿宋" w:eastAsia="仿宋" w:cs="Segoe UI"/>
                <w:color w:val="0F1115"/>
                <w:sz w:val="24"/>
              </w:rPr>
              <w:t>3.服务方案部分内容描述详细合理、可行性一般，得11-15分；</w:t>
            </w:r>
            <w:r>
              <w:rPr>
                <w:rFonts w:ascii="仿宋" w:hAnsi="仿宋" w:eastAsia="仿宋" w:cs="Segoe UI"/>
                <w:color w:val="0F1115"/>
                <w:sz w:val="24"/>
              </w:rPr>
              <w:br w:type="textWrapping"/>
            </w:r>
            <w:r>
              <w:rPr>
                <w:rFonts w:ascii="仿宋" w:hAnsi="仿宋" w:eastAsia="仿宋" w:cs="Segoe UI"/>
                <w:color w:val="0F1115"/>
                <w:sz w:val="24"/>
              </w:rPr>
              <w:t>4.整体服务方案简单、可行性差的，得6-10分；</w:t>
            </w:r>
            <w:r>
              <w:rPr>
                <w:rFonts w:ascii="仿宋" w:hAnsi="仿宋" w:eastAsia="仿宋" w:cs="Segoe UI"/>
                <w:color w:val="0F1115"/>
                <w:sz w:val="24"/>
              </w:rPr>
              <w:br w:type="textWrapping"/>
            </w:r>
            <w:r>
              <w:rPr>
                <w:rFonts w:ascii="仿宋" w:hAnsi="仿宋" w:eastAsia="仿宋" w:cs="Segoe UI"/>
                <w:color w:val="0F1115"/>
                <w:sz w:val="24"/>
              </w:rPr>
              <w:t>5.未提供服务方案的，得0分。</w:t>
            </w:r>
          </w:p>
        </w:tc>
      </w:tr>
      <w:tr w14:paraId="1263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62" w:type="dxa"/>
            <w:vAlign w:val="center"/>
          </w:tcPr>
          <w:p w14:paraId="0CAC569A">
            <w:pPr>
              <w:spacing w:line="240" w:lineRule="auto"/>
              <w:jc w:val="center"/>
              <w:rPr>
                <w:rStyle w:val="19"/>
                <w:rFonts w:ascii="仿宋" w:hAnsi="仿宋" w:eastAsia="仿宋"/>
                <w:sz w:val="24"/>
              </w:rPr>
            </w:pPr>
            <w:r>
              <w:rPr>
                <w:rStyle w:val="19"/>
                <w:rFonts w:hint="eastAsia" w:ascii="仿宋" w:hAnsi="仿宋" w:eastAsia="仿宋"/>
                <w:sz w:val="24"/>
              </w:rPr>
              <w:t>6</w:t>
            </w:r>
          </w:p>
        </w:tc>
        <w:tc>
          <w:tcPr>
            <w:tcW w:w="2127" w:type="dxa"/>
            <w:vAlign w:val="center"/>
          </w:tcPr>
          <w:p w14:paraId="5FF75C02">
            <w:pPr>
              <w:spacing w:line="240" w:lineRule="auto"/>
              <w:jc w:val="center"/>
              <w:rPr>
                <w:rStyle w:val="19"/>
                <w:rFonts w:ascii="仿宋" w:hAnsi="仿宋" w:eastAsia="仿宋" w:cs="Segoe UI"/>
                <w:color w:val="0F1115"/>
                <w:sz w:val="24"/>
              </w:rPr>
            </w:pPr>
            <w:r>
              <w:rPr>
                <w:rStyle w:val="19"/>
                <w:rFonts w:hint="eastAsia" w:ascii="仿宋" w:hAnsi="仿宋" w:eastAsia="仿宋" w:cs="Segoe UI"/>
                <w:color w:val="0F1115"/>
                <w:sz w:val="24"/>
              </w:rPr>
              <w:t>项目服务团队人员（1</w:t>
            </w:r>
            <w:r>
              <w:rPr>
                <w:rStyle w:val="19"/>
                <w:rFonts w:ascii="仿宋" w:hAnsi="仿宋" w:eastAsia="仿宋" w:cs="Segoe UI"/>
                <w:color w:val="0F1115"/>
                <w:sz w:val="24"/>
              </w:rPr>
              <w:t>5</w:t>
            </w:r>
            <w:r>
              <w:rPr>
                <w:rStyle w:val="19"/>
                <w:rFonts w:hint="eastAsia" w:ascii="仿宋" w:hAnsi="仿宋" w:eastAsia="仿宋" w:cs="Segoe UI"/>
                <w:color w:val="0F1115"/>
                <w:sz w:val="24"/>
              </w:rPr>
              <w:t>分）</w:t>
            </w:r>
          </w:p>
        </w:tc>
        <w:tc>
          <w:tcPr>
            <w:tcW w:w="5607" w:type="dxa"/>
            <w:vAlign w:val="center"/>
          </w:tcPr>
          <w:p w14:paraId="55CD62F7">
            <w:pPr>
              <w:pStyle w:val="14"/>
              <w:spacing w:before="0" w:beforeAutospacing="0" w:after="0" w:afterAutospacing="0" w:line="240" w:lineRule="auto"/>
              <w:rPr>
                <w:rFonts w:ascii="仿宋" w:hAnsi="仿宋" w:eastAsia="仿宋"/>
              </w:rPr>
            </w:pPr>
            <w:r>
              <w:rPr>
                <w:rFonts w:hint="eastAsia" w:ascii="仿宋" w:hAnsi="仿宋" w:eastAsia="仿宋"/>
              </w:rPr>
              <w:t>参选人提供拟投入本项目的服务团队成员，根据所配备人员齐全程度、经验丰富程度进行综合评分。本项目团队人员，应至少包含</w:t>
            </w:r>
            <w:r>
              <w:rPr>
                <w:rFonts w:ascii="仿宋" w:hAnsi="仿宋" w:eastAsia="仿宋"/>
              </w:rPr>
              <w:t>3</w:t>
            </w:r>
            <w:r>
              <w:rPr>
                <w:rFonts w:hint="eastAsia" w:ascii="仿宋" w:hAnsi="仿宋" w:eastAsia="仿宋"/>
              </w:rPr>
              <w:t>名成员（含项目组负责人）。</w:t>
            </w:r>
          </w:p>
        </w:tc>
      </w:tr>
      <w:bookmarkEnd w:id="33"/>
      <w:bookmarkEnd w:id="34"/>
      <w:bookmarkEnd w:id="35"/>
      <w:bookmarkEnd w:id="36"/>
      <w:bookmarkEnd w:id="37"/>
      <w:bookmarkEnd w:id="38"/>
      <w:bookmarkEnd w:id="39"/>
      <w:bookmarkEnd w:id="40"/>
    </w:tbl>
    <w:p w14:paraId="7EF476CB">
      <w:pPr>
        <w:spacing w:line="578" w:lineRule="exact"/>
        <w:ind w:firstLine="640" w:firstLineChars="200"/>
        <w:rPr>
          <w:rFonts w:hint="default" w:ascii="仿宋" w:hAnsi="仿宋" w:eastAsia="仿宋" w:cs="仿宋_GB2312"/>
          <w:color w:val="auto"/>
          <w:sz w:val="32"/>
          <w:szCs w:val="32"/>
          <w:highlight w:val="none"/>
          <w:lang w:val="en-US" w:eastAsia="zh-CN"/>
        </w:rPr>
      </w:pPr>
      <w:bookmarkStart w:id="42" w:name="_Toc79839825"/>
      <w:bookmarkStart w:id="43" w:name="_Toc85622919"/>
      <w:bookmarkStart w:id="44" w:name="_Toc84698407"/>
      <w:r>
        <w:rPr>
          <w:rFonts w:hint="eastAsia" w:ascii="仿宋" w:hAnsi="仿宋" w:eastAsia="仿宋" w:cs="仿宋_GB2312"/>
          <w:color w:val="auto"/>
          <w:sz w:val="32"/>
          <w:szCs w:val="32"/>
          <w:highlight w:val="none"/>
          <w:lang w:val="en-US" w:eastAsia="zh-CN"/>
        </w:rPr>
        <w:t>（2）评审小组评分</w:t>
      </w:r>
    </w:p>
    <w:p w14:paraId="15324D3A">
      <w:pPr>
        <w:spacing w:line="578" w:lineRule="exact"/>
        <w:ind w:firstLine="64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审小组成员独立按本章第二条第（二）款的《评分标准表》规定的评价指标分别对响应人进行评分，然后去掉一个最高分和一个最低分，响应人得分以剩下评审小组成员评分的算术平均值得出，保留小数点后两位。</w:t>
      </w:r>
    </w:p>
    <w:p w14:paraId="71AD201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2.响应文件的澄清和补正</w:t>
      </w:r>
    </w:p>
    <w:p w14:paraId="489D9AB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（1）在评审过程中，评审小组可以书面形式要求响应人对所提交响应文件中不明确的内容进行书面澄清或说明，或者对细微偏差进行补正。评审小组不接受响应人主动提出的澄清、说明或补正。</w:t>
      </w:r>
    </w:p>
    <w:p w14:paraId="30949B6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（2）澄清、说明和补正不得改变响应文件的实质性内容。响应人的书面澄清、说明和补正属于响应文件的组成部分。</w:t>
      </w:r>
    </w:p>
    <w:p w14:paraId="39CBFEF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（3）评审小组对响应人提交的澄清、说明或补正有疑问的，可以要求响应人进一步澄清、说明或补正，直至满足评审小组的要求。</w:t>
      </w:r>
    </w:p>
    <w:p w14:paraId="19509B79">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3.评选时间与通知</w:t>
      </w:r>
    </w:p>
    <w:p w14:paraId="15CF2C1D">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本项目预计于响应文件递交截止日后3个工作日内进行评选，并预计于评选结束后3个工作日内发送中选通知，未中选机构则不发送通知。</w:t>
      </w:r>
    </w:p>
    <w:p w14:paraId="2C209645">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4.评选过程的保密</w:t>
      </w:r>
    </w:p>
    <w:p w14:paraId="4658EFC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（1）响应文件开启后，直至成交为止，凡属于对响应文件的审查、澄清、评价和比较有关的资料以及响应人的排名情况等与评选有关的任何情况均严格保密。</w:t>
      </w:r>
    </w:p>
    <w:p w14:paraId="27573A1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（2）在响应文件的评审和比较、响应人的排名情况以及签署合同的过程中，响应人向比选人和评审小组施加不公正影响的任何行为，都将会导致其响应被拒绝。</w:t>
      </w:r>
    </w:p>
    <w:p w14:paraId="28D1813B">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5.评审结果</w:t>
      </w:r>
    </w:p>
    <w:p w14:paraId="188B573C">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（1）评审小组原则上按照响应人得分由高到低的顺序推荐中选候选人。</w:t>
      </w:r>
    </w:p>
    <w:p w14:paraId="4011F6F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得分最高的为第一中选候选人；平均分相同的，报价低者优先；平均分及报价均相同的，由评审小组投票决定第一中选候选人，原则上第一中选候选人为中选供应商；如果中选供应商放弃中选资格、无法履约合同或者被查实存在影响中选结果的违法行为等情形，不符合中选条件的，自动向下一名顺延。</w:t>
      </w:r>
    </w:p>
    <w:p w14:paraId="6648045A">
      <w:pPr>
        <w:numPr>
          <w:ilvl w:val="0"/>
          <w:numId w:val="7"/>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确定中选供应商后，向成交供应商发送《中选通知书》，然后签订采购合同。</w:t>
      </w:r>
    </w:p>
    <w:p w14:paraId="51151891">
      <w:pPr>
        <w:numPr>
          <w:ilvl w:val="0"/>
          <w:numId w:val="0"/>
        </w:numPr>
        <w:spacing w:line="578" w:lineRule="exact"/>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（三）响应无效情形</w:t>
      </w:r>
    </w:p>
    <w:p w14:paraId="1B6ED1E7">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响应人或其响应文件出现下列情形之一者，将导致申请无效：</w:t>
      </w:r>
    </w:p>
    <w:p w14:paraId="776DF9D4">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1.响应人弄虚作假，故意伪造、隐瞒、遗漏重大信息，或未实质性回应比选文件内容、故意混淆重要事实的；</w:t>
      </w:r>
    </w:p>
    <w:p w14:paraId="28DC34E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2.包装响应文件的密封袋外表面的密封与标记不符合要求的；</w:t>
      </w:r>
    </w:p>
    <w:p w14:paraId="30AB01C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3.未通过资格审查的；</w:t>
      </w:r>
    </w:p>
    <w:p w14:paraId="3DA392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4.响应文件与比选文件实质性要求有严重背离的；</w:t>
      </w:r>
    </w:p>
    <w:p w14:paraId="4C7F9A56">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5.响应文件含有违反国家法律、法规的内容或附有我司不能接受的条件的；</w:t>
      </w:r>
    </w:p>
    <w:p w14:paraId="7EC5952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6.出现任何影响评审公正的违法、违规行为的；</w:t>
      </w:r>
    </w:p>
    <w:p w14:paraId="70BE1D3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7.因政策变动、自然灾害等不可抗力因素的影响，需要变更响应文件实质性内容的。</w:t>
      </w:r>
    </w:p>
    <w:p w14:paraId="09C6B3FB">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8.本文件规定的其他情形。</w:t>
      </w:r>
    </w:p>
    <w:p w14:paraId="40EF6B4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（四）其他说明</w:t>
      </w:r>
    </w:p>
    <w:p w14:paraId="285B977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比选人保留拒绝任何一份响应或所有响应的权利。</w:t>
      </w:r>
    </w:p>
    <w:p w14:paraId="401100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（五）澄清与答疑</w:t>
      </w:r>
    </w:p>
    <w:p w14:paraId="5988ADFF">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响应人如有任何疑问需咨询、解答，可在工作日8:30-12:00及14:30-18:00期间联系。</w:t>
      </w:r>
    </w:p>
    <w:p w14:paraId="00CF7FFC">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602CFBF">
      <w:pPr>
        <w:spacing w:line="578" w:lineRule="exact"/>
        <w:outlineLvl w:val="0"/>
        <w:rPr>
          <w:rFonts w:ascii="黑体" w:hAnsi="黑体" w:eastAsia="黑体" w:cs="黑体"/>
          <w:color w:val="auto"/>
          <w:sz w:val="32"/>
          <w:szCs w:val="32"/>
          <w:highlight w:val="none"/>
        </w:rPr>
      </w:pPr>
      <w:bookmarkStart w:id="45" w:name="_Toc18795"/>
      <w:r>
        <w:rPr>
          <w:rFonts w:hint="eastAsia" w:ascii="黑体" w:hAnsi="黑体" w:eastAsia="黑体" w:cs="黑体"/>
          <w:color w:val="auto"/>
          <w:sz w:val="32"/>
          <w:szCs w:val="32"/>
          <w:highlight w:val="none"/>
        </w:rPr>
        <w:t>附件1</w:t>
      </w:r>
      <w:bookmarkEnd w:id="45"/>
    </w:p>
    <w:p w14:paraId="2B2743D7">
      <w:pPr>
        <w:spacing w:line="578" w:lineRule="exact"/>
        <w:rPr>
          <w:color w:val="auto"/>
          <w:highlight w:val="none"/>
        </w:rPr>
      </w:pPr>
    </w:p>
    <w:bookmarkEnd w:id="42"/>
    <w:bookmarkEnd w:id="43"/>
    <w:bookmarkEnd w:id="44"/>
    <w:p w14:paraId="09E21CDB">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宋体" w:hAnsi="宋体" w:eastAsia="宋体" w:cs="宋体"/>
          <w:b/>
          <w:bCs/>
          <w:color w:val="auto"/>
          <w:sz w:val="44"/>
          <w:szCs w:val="44"/>
          <w:highlight w:val="none"/>
          <w:lang w:val="en-US" w:eastAsia="zh-CN"/>
        </w:rPr>
        <w:t>响应</w:t>
      </w:r>
      <w:r>
        <w:rPr>
          <w:rFonts w:hint="eastAsia" w:ascii="宋体" w:hAnsi="宋体" w:eastAsia="宋体" w:cs="宋体"/>
          <w:b/>
          <w:bCs/>
          <w:color w:val="auto"/>
          <w:sz w:val="44"/>
          <w:szCs w:val="44"/>
          <w:highlight w:val="none"/>
        </w:rPr>
        <w:t>文件声明函</w:t>
      </w:r>
    </w:p>
    <w:p w14:paraId="48B94274">
      <w:pPr>
        <w:spacing w:line="578" w:lineRule="exact"/>
        <w:rPr>
          <w:color w:val="auto"/>
          <w:highlight w:val="none"/>
        </w:rPr>
      </w:pPr>
    </w:p>
    <w:p w14:paraId="0890F59D">
      <w:pPr>
        <w:adjustRightInd w:val="0"/>
        <w:snapToGrid w:val="0"/>
        <w:spacing w:line="578" w:lineRule="exac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bCs/>
          <w:color w:val="auto"/>
          <w:sz w:val="32"/>
          <w:szCs w:val="32"/>
          <w:highlight w:val="none"/>
          <w:u w:val="single"/>
          <w:lang w:val="en-US" w:eastAsia="zh-CN"/>
        </w:rPr>
        <w:t>海口市金融控股</w:t>
      </w:r>
      <w:r>
        <w:rPr>
          <w:rFonts w:hint="eastAsia" w:ascii="仿宋_GB2312" w:hAnsi="仿宋_GB2312" w:eastAsia="仿宋_GB2312" w:cs="仿宋_GB2312"/>
          <w:b/>
          <w:bCs/>
          <w:color w:val="auto"/>
          <w:sz w:val="32"/>
          <w:szCs w:val="32"/>
          <w:highlight w:val="none"/>
          <w:u w:val="single"/>
        </w:rPr>
        <w:t>集团有限公司</w:t>
      </w:r>
    </w:p>
    <w:p w14:paraId="7BD42D5E">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根据贵方</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lang w:val="en-US" w:eastAsia="zh-CN"/>
        </w:rPr>
        <w:t>2026年XX月</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u w:val="single"/>
          <w:lang w:val="en-US" w:eastAsia="zh-CN"/>
        </w:rPr>
        <w:t>海口市金融控股</w:t>
      </w:r>
      <w:r>
        <w:rPr>
          <w:rFonts w:hint="eastAsia" w:ascii="仿宋" w:hAnsi="仿宋" w:eastAsia="仿宋" w:cs="仿宋_GB2312"/>
          <w:color w:val="auto"/>
          <w:sz w:val="32"/>
          <w:szCs w:val="32"/>
          <w:highlight w:val="none"/>
          <w:u w:val="single"/>
        </w:rPr>
        <w:t>集团有限公司企业主体</w:t>
      </w:r>
      <w:r>
        <w:rPr>
          <w:rFonts w:hint="eastAsia" w:ascii="仿宋" w:hAnsi="仿宋" w:eastAsia="仿宋" w:cs="仿宋_GB2312"/>
          <w:color w:val="auto"/>
          <w:sz w:val="32"/>
          <w:szCs w:val="32"/>
          <w:highlight w:val="none"/>
          <w:u w:val="single"/>
          <w:lang w:val="en-US" w:eastAsia="zh-CN"/>
        </w:rPr>
        <w:t>评级</w:t>
      </w:r>
      <w:r>
        <w:rPr>
          <w:rFonts w:hint="eastAsia" w:ascii="仿宋" w:hAnsi="仿宋" w:eastAsia="仿宋" w:cs="仿宋_GB2312"/>
          <w:color w:val="auto"/>
          <w:sz w:val="32"/>
          <w:szCs w:val="32"/>
          <w:highlight w:val="none"/>
          <w:u w:val="single"/>
        </w:rPr>
        <w:t>服务采购项目比选文件》</w:t>
      </w:r>
      <w:r>
        <w:rPr>
          <w:rFonts w:hint="eastAsia" w:ascii="仿宋" w:hAnsi="仿宋" w:eastAsia="仿宋" w:cs="仿宋_GB2312"/>
          <w:color w:val="auto"/>
          <w:sz w:val="32"/>
          <w:szCs w:val="32"/>
          <w:highlight w:val="none"/>
        </w:rPr>
        <w:t>的要求，我司参加该项目比选，提交</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文件正本【】份，副本【】份。我司在此声明并同意：</w:t>
      </w:r>
    </w:p>
    <w:p w14:paraId="560CF870">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一、</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已经详细地阅读了全部</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文件及附件，包括答疑、澄清、补充通知及参考文件（如有），我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完全清晰理解</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文件的要求，不存在任何含糊不清和误解之处，同意放弃对这些文件提出异议和质疑的权利。</w:t>
      </w:r>
    </w:p>
    <w:p w14:paraId="076C7F24">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二、</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承诺在本次比选中提供的一切资料和文件，无论是原件或是复印件均为真实、准确无误和有效的，绝无任何虚构、伪造和夸大的成份；否则我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愿意承担相应的后果和法律责任。</w:t>
      </w:r>
    </w:p>
    <w:p w14:paraId="07BED10C">
      <w:pPr>
        <w:numPr>
          <w:ilvl w:val="0"/>
          <w:numId w:val="0"/>
        </w:numPr>
        <w:adjustRightInd w:val="0"/>
        <w:snapToGrid w:val="0"/>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同意所递交的</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文件自</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截止时间起</w:t>
      </w:r>
      <w:r>
        <w:rPr>
          <w:rFonts w:hint="eastAsia" w:ascii="仿宋" w:hAnsi="仿宋" w:eastAsia="仿宋" w:cs="仿宋"/>
          <w:color w:val="auto"/>
          <w:sz w:val="32"/>
          <w:szCs w:val="32"/>
          <w:highlight w:val="none"/>
          <w:lang w:val="en-US" w:eastAsia="zh-CN"/>
        </w:rPr>
        <w:t>90天内</w:t>
      </w:r>
      <w:r>
        <w:rPr>
          <w:rFonts w:hint="eastAsia" w:ascii="仿宋" w:hAnsi="仿宋" w:eastAsia="仿宋" w:cs="仿宋"/>
          <w:color w:val="auto"/>
          <w:sz w:val="32"/>
          <w:szCs w:val="32"/>
          <w:highlight w:val="none"/>
        </w:rPr>
        <w:t>持续有效，在此期间内</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文件对我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持续具有约束力并可随时被接受，我</w:t>
      </w:r>
      <w:r>
        <w:rPr>
          <w:rFonts w:hint="eastAsia" w:ascii="仿宋" w:hAnsi="仿宋" w:eastAsia="仿宋" w:cs="仿宋"/>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文件或修改报价，经贵司同</w:t>
      </w:r>
      <w:r>
        <w:rPr>
          <w:rFonts w:hint="eastAsia" w:ascii="仿宋" w:hAnsi="仿宋" w:eastAsia="仿宋" w:cs="仿宋_GB2312"/>
          <w:color w:val="auto"/>
          <w:sz w:val="32"/>
          <w:szCs w:val="32"/>
          <w:highlight w:val="none"/>
          <w:lang w:eastAsia="zh-CN"/>
        </w:rPr>
        <w:t>意的</w:t>
      </w:r>
      <w:r>
        <w:rPr>
          <w:rFonts w:hint="eastAsia" w:ascii="仿宋" w:hAnsi="仿宋" w:eastAsia="仿宋" w:cs="仿宋_GB2312"/>
          <w:color w:val="auto"/>
          <w:sz w:val="32"/>
          <w:szCs w:val="32"/>
          <w:highlight w:val="none"/>
        </w:rPr>
        <w:t>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5304B82">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四、</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保证不与其他单位串通，不出让比选资格，不向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人或评选小组成员行贿</w:t>
      </w:r>
      <w:r>
        <w:rPr>
          <w:rFonts w:hint="eastAsia" w:ascii="仿宋" w:hAnsi="仿宋" w:eastAsia="仿宋" w:cs="仿宋_GB2312"/>
          <w:color w:val="auto"/>
          <w:sz w:val="32"/>
          <w:szCs w:val="32"/>
          <w:highlight w:val="none"/>
          <w:lang w:val="en-US" w:eastAsia="zh-CN"/>
        </w:rPr>
        <w:t>及</w:t>
      </w:r>
      <w:r>
        <w:rPr>
          <w:rFonts w:hint="eastAsia" w:ascii="仿宋" w:hAnsi="仿宋" w:eastAsia="仿宋" w:cs="仿宋_GB2312"/>
          <w:color w:val="auto"/>
          <w:sz w:val="32"/>
          <w:szCs w:val="32"/>
          <w:highlight w:val="none"/>
        </w:rPr>
        <w:t>报销</w:t>
      </w:r>
      <w:r>
        <w:rPr>
          <w:rFonts w:hint="eastAsia" w:ascii="仿宋" w:hAnsi="仿宋" w:eastAsia="仿宋" w:cs="仿宋"/>
          <w:color w:val="auto"/>
          <w:sz w:val="32"/>
          <w:szCs w:val="32"/>
          <w:highlight w:val="none"/>
        </w:rPr>
        <w:t>任何费用</w:t>
      </w:r>
      <w:r>
        <w:rPr>
          <w:rFonts w:hint="eastAsia" w:ascii="仿宋" w:hAnsi="仿宋" w:eastAsia="仿宋" w:cs="仿宋_GB2312"/>
          <w:color w:val="auto"/>
          <w:sz w:val="32"/>
          <w:szCs w:val="32"/>
          <w:highlight w:val="none"/>
        </w:rPr>
        <w:t>，不从事任何可能影响评审公平的其他行为。</w:t>
      </w:r>
    </w:p>
    <w:p w14:paraId="2686EAE7">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五、</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完全理解，</w:t>
      </w:r>
      <w:r>
        <w:rPr>
          <w:rFonts w:hint="eastAsia" w:ascii="仿宋" w:hAnsi="仿宋" w:eastAsia="仿宋" w:cs="仿宋_GB2312"/>
          <w:color w:val="auto"/>
          <w:sz w:val="32"/>
          <w:szCs w:val="32"/>
          <w:highlight w:val="none"/>
          <w:lang w:val="en-US" w:eastAsia="zh-CN"/>
        </w:rPr>
        <w:t>评审</w:t>
      </w:r>
      <w:r>
        <w:rPr>
          <w:rFonts w:hint="eastAsia" w:ascii="仿宋" w:hAnsi="仿宋" w:eastAsia="仿宋" w:cs="仿宋_GB2312"/>
          <w:color w:val="auto"/>
          <w:sz w:val="32"/>
          <w:szCs w:val="32"/>
          <w:highlight w:val="none"/>
        </w:rPr>
        <w:t>小组及</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人并无义务必须接受最低报价的比选或其它任何比选。</w:t>
      </w:r>
    </w:p>
    <w:p w14:paraId="4D493028">
      <w:pPr>
        <w:numPr>
          <w:ilvl w:val="0"/>
          <w:numId w:val="0"/>
        </w:numPr>
        <w:adjustRightInd w:val="0"/>
        <w:snapToGrid w:val="0"/>
        <w:spacing w:line="578"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_GB2312"/>
          <w:color w:val="auto"/>
          <w:sz w:val="32"/>
          <w:szCs w:val="32"/>
          <w:highlight w:val="none"/>
          <w:lang w:val="en-US" w:eastAsia="zh-CN"/>
        </w:rPr>
        <w:t>六、如果</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司中标</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val="en-US" w:eastAsia="zh-CN"/>
        </w:rPr>
        <w:t>我司</w:t>
      </w:r>
      <w:r>
        <w:rPr>
          <w:rFonts w:hint="eastAsia" w:ascii="仿宋" w:hAnsi="仿宋" w:eastAsia="仿宋" w:cs="仿宋_GB2312"/>
          <w:color w:val="auto"/>
          <w:sz w:val="32"/>
          <w:szCs w:val="32"/>
          <w:highlight w:val="none"/>
        </w:rPr>
        <w:t>保证履行</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文件中承诺的全部责任和义务，</w:t>
      </w:r>
      <w:r>
        <w:rPr>
          <w:rFonts w:hint="eastAsia" w:ascii="仿宋" w:hAnsi="仿宋" w:eastAsia="仿宋" w:cs="仿宋"/>
          <w:color w:val="auto"/>
          <w:sz w:val="32"/>
          <w:szCs w:val="32"/>
          <w:highlight w:val="none"/>
        </w:rPr>
        <w:t>承诺按采购人要求的时间及双方协商一致的条款签订</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合同，</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rPr>
        <w:t>承诺在合同约定的期限内完成并移交全部合同</w:t>
      </w:r>
      <w:r>
        <w:rPr>
          <w:rFonts w:hint="eastAsia" w:ascii="仿宋" w:hAnsi="仿宋" w:eastAsia="仿宋" w:cs="仿宋"/>
          <w:color w:val="auto"/>
          <w:sz w:val="32"/>
          <w:szCs w:val="32"/>
          <w:highlight w:val="none"/>
          <w:lang w:val="en-US" w:eastAsia="zh-CN"/>
        </w:rPr>
        <w:t>内容</w:t>
      </w:r>
      <w:r>
        <w:rPr>
          <w:rFonts w:hint="eastAsia" w:ascii="仿宋" w:hAnsi="仿宋" w:eastAsia="仿宋" w:cs="仿宋"/>
          <w:color w:val="auto"/>
          <w:sz w:val="32"/>
          <w:szCs w:val="32"/>
          <w:highlight w:val="none"/>
        </w:rPr>
        <w:t>。</w:t>
      </w:r>
    </w:p>
    <w:p w14:paraId="2959531B">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自行负担有关本次</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的所用费用和风险。</w:t>
      </w:r>
    </w:p>
    <w:p w14:paraId="1B0541B0">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p w14:paraId="548F0AB4">
      <w:pPr>
        <w:wordWrap w:val="0"/>
        <w:adjustRightInd w:val="0"/>
        <w:snapToGrid w:val="0"/>
        <w:spacing w:line="578" w:lineRule="exact"/>
        <w:jc w:val="left"/>
        <w:rPr>
          <w:rFonts w:ascii="仿宋_GB2312" w:hAnsi="仿宋_GB2312" w:eastAsia="仿宋_GB2312" w:cs="仿宋_GB2312"/>
          <w:color w:val="auto"/>
          <w:sz w:val="32"/>
          <w:szCs w:val="32"/>
          <w:highlight w:val="none"/>
        </w:rPr>
      </w:pPr>
    </w:p>
    <w:p w14:paraId="140BDEB0">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申请人（盖章）：</w:t>
      </w:r>
      <w:r>
        <w:rPr>
          <w:rFonts w:hint="eastAsia" w:ascii="仿宋_GB2312" w:hAnsi="仿宋_GB2312" w:eastAsia="仿宋_GB2312" w:cs="仿宋_GB2312"/>
          <w:color w:val="auto"/>
          <w:sz w:val="32"/>
          <w:szCs w:val="32"/>
          <w:highlight w:val="none"/>
          <w:u w:val="single"/>
        </w:rPr>
        <w:t xml:space="preserve">                        </w:t>
      </w:r>
    </w:p>
    <w:p w14:paraId="648FF22A">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25D54229">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法定代表人</w:t>
      </w:r>
      <w:r>
        <w:rPr>
          <w:rFonts w:hint="eastAsia" w:ascii="仿宋_GB2312" w:hAnsi="仿宋_GB2312" w:eastAsia="仿宋_GB2312"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2B952663">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500D3DFD">
      <w:pPr>
        <w:adjustRightInd w:val="0"/>
        <w:snapToGrid w:val="0"/>
        <w:spacing w:line="578" w:lineRule="exact"/>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日期：   年    月    日       </w:t>
      </w:r>
    </w:p>
    <w:p w14:paraId="21C0981B">
      <w:pPr>
        <w:spacing w:line="578" w:lineRule="exact"/>
        <w:jc w:val="left"/>
        <w:rPr>
          <w:color w:val="auto"/>
          <w:sz w:val="32"/>
          <w:szCs w:val="32"/>
          <w:highlight w:val="none"/>
        </w:rPr>
      </w:pPr>
    </w:p>
    <w:p w14:paraId="5C764874">
      <w:pPr>
        <w:spacing w:line="578" w:lineRule="exact"/>
        <w:rPr>
          <w:rFonts w:ascii="宋体" w:hAnsi="宋体" w:eastAsia="宋体" w:cs="宋体"/>
          <w:color w:val="auto"/>
          <w:sz w:val="32"/>
          <w:szCs w:val="32"/>
          <w:highlight w:val="none"/>
        </w:rPr>
      </w:pPr>
    </w:p>
    <w:p w14:paraId="4628003D">
      <w:pPr>
        <w:spacing w:line="578" w:lineRule="exact"/>
        <w:rPr>
          <w:rFonts w:ascii="宋体" w:hAnsi="宋体" w:eastAsia="宋体" w:cs="宋体"/>
          <w:color w:val="auto"/>
          <w:sz w:val="32"/>
          <w:szCs w:val="32"/>
          <w:highlight w:val="none"/>
        </w:rPr>
      </w:pPr>
    </w:p>
    <w:p w14:paraId="5B3581F2">
      <w:pPr>
        <w:spacing w:line="578" w:lineRule="exact"/>
        <w:rPr>
          <w:rFonts w:ascii="宋体" w:hAnsi="宋体" w:eastAsia="宋体" w:cs="宋体"/>
          <w:color w:val="auto"/>
          <w:sz w:val="32"/>
          <w:szCs w:val="32"/>
          <w:highlight w:val="none"/>
        </w:rPr>
      </w:pPr>
    </w:p>
    <w:p w14:paraId="1E624CFA">
      <w:pPr>
        <w:spacing w:line="578" w:lineRule="exact"/>
        <w:rPr>
          <w:rFonts w:ascii="宋体" w:hAnsi="宋体" w:eastAsia="宋体" w:cs="宋体"/>
          <w:color w:val="auto"/>
          <w:sz w:val="32"/>
          <w:szCs w:val="32"/>
          <w:highlight w:val="none"/>
        </w:rPr>
      </w:pPr>
    </w:p>
    <w:p w14:paraId="5138F775">
      <w:pPr>
        <w:spacing w:line="578" w:lineRule="exact"/>
        <w:rPr>
          <w:rFonts w:ascii="宋体" w:hAnsi="宋体" w:eastAsia="宋体" w:cs="宋体"/>
          <w:color w:val="auto"/>
          <w:sz w:val="32"/>
          <w:szCs w:val="32"/>
          <w:highlight w:val="none"/>
        </w:rPr>
      </w:pPr>
    </w:p>
    <w:p w14:paraId="49AEFC59">
      <w:pPr>
        <w:spacing w:line="578" w:lineRule="exact"/>
        <w:rPr>
          <w:rFonts w:ascii="宋体" w:hAnsi="宋体" w:eastAsia="宋体" w:cs="宋体"/>
          <w:color w:val="auto"/>
          <w:sz w:val="32"/>
          <w:szCs w:val="32"/>
          <w:highlight w:val="none"/>
        </w:rPr>
      </w:pPr>
    </w:p>
    <w:p w14:paraId="523C9D66">
      <w:pPr>
        <w:spacing w:line="578" w:lineRule="exact"/>
        <w:rPr>
          <w:rFonts w:ascii="宋体" w:hAnsi="宋体" w:eastAsia="宋体" w:cs="宋体"/>
          <w:color w:val="auto"/>
          <w:sz w:val="32"/>
          <w:szCs w:val="32"/>
          <w:highlight w:val="none"/>
        </w:rPr>
      </w:pPr>
    </w:p>
    <w:p w14:paraId="1DC41376">
      <w:pPr>
        <w:spacing w:line="578" w:lineRule="exact"/>
        <w:rPr>
          <w:rFonts w:ascii="宋体" w:hAnsi="宋体" w:eastAsia="宋体" w:cs="宋体"/>
          <w:color w:val="auto"/>
          <w:sz w:val="32"/>
          <w:szCs w:val="32"/>
          <w:highlight w:val="none"/>
        </w:rPr>
      </w:pPr>
    </w:p>
    <w:p w14:paraId="360FAA6E">
      <w:pPr>
        <w:spacing w:line="578" w:lineRule="exact"/>
        <w:rPr>
          <w:rFonts w:ascii="宋体" w:hAnsi="宋体" w:eastAsia="宋体" w:cs="宋体"/>
          <w:color w:val="auto"/>
          <w:sz w:val="32"/>
          <w:szCs w:val="32"/>
          <w:highlight w:val="none"/>
        </w:rPr>
      </w:pPr>
    </w:p>
    <w:p w14:paraId="441422E0">
      <w:pPr>
        <w:spacing w:line="578" w:lineRule="exact"/>
        <w:rPr>
          <w:rFonts w:ascii="宋体" w:hAnsi="宋体" w:eastAsia="宋体" w:cs="宋体"/>
          <w:color w:val="auto"/>
          <w:sz w:val="32"/>
          <w:szCs w:val="32"/>
          <w:highlight w:val="none"/>
        </w:rPr>
      </w:pPr>
      <w:bookmarkStart w:id="46" w:name="_Toc15270"/>
      <w:r>
        <w:rPr>
          <w:rFonts w:hint="eastAsia" w:ascii="黑体" w:hAnsi="黑体" w:eastAsia="黑体" w:cs="黑体"/>
          <w:color w:val="auto"/>
          <w:sz w:val="32"/>
          <w:szCs w:val="32"/>
          <w:highlight w:val="none"/>
        </w:rPr>
        <w:t>附件2</w:t>
      </w:r>
      <w:bookmarkEnd w:id="46"/>
    </w:p>
    <w:p w14:paraId="3922A9A1">
      <w:pPr>
        <w:spacing w:line="578" w:lineRule="exact"/>
        <w:outlineLvl w:val="0"/>
        <w:rPr>
          <w:rFonts w:ascii="黑体" w:hAnsi="黑体" w:eastAsia="黑体" w:cs="黑体"/>
          <w:color w:val="auto"/>
          <w:sz w:val="32"/>
          <w:szCs w:val="32"/>
          <w:highlight w:val="none"/>
        </w:rPr>
      </w:pPr>
    </w:p>
    <w:p w14:paraId="56692F3D">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报价单</w:t>
      </w:r>
    </w:p>
    <w:p w14:paraId="2E54E908">
      <w:pPr>
        <w:pStyle w:val="5"/>
        <w:spacing w:line="578"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海口金融控股</w:t>
      </w:r>
      <w:r>
        <w:rPr>
          <w:rFonts w:hint="eastAsia" w:ascii="仿宋_GB2312" w:hAnsi="仿宋_GB2312" w:eastAsia="仿宋_GB2312" w:cs="仿宋_GB2312"/>
          <w:b/>
          <w:color w:val="auto"/>
          <w:sz w:val="32"/>
          <w:szCs w:val="32"/>
          <w:highlight w:val="none"/>
        </w:rPr>
        <w:t>集团有限公司</w:t>
      </w:r>
      <w:r>
        <w:rPr>
          <w:rFonts w:hint="eastAsia" w:ascii="仿宋_GB2312" w:hAnsi="仿宋_GB2312" w:eastAsia="仿宋_GB2312" w:cs="仿宋_GB2312"/>
          <w:color w:val="auto"/>
          <w:sz w:val="32"/>
          <w:szCs w:val="32"/>
          <w:highlight w:val="none"/>
        </w:rPr>
        <w:t>：</w:t>
      </w:r>
    </w:p>
    <w:p w14:paraId="06035155">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认真研究了贵司《</w:t>
      </w:r>
      <w:r>
        <w:rPr>
          <w:rFonts w:hint="eastAsia" w:ascii="仿宋" w:hAnsi="仿宋" w:eastAsia="仿宋" w:cs="仿宋_GB2312"/>
          <w:color w:val="auto"/>
          <w:sz w:val="32"/>
          <w:szCs w:val="32"/>
          <w:highlight w:val="none"/>
          <w:lang w:val="en-US" w:eastAsia="zh-CN"/>
        </w:rPr>
        <w:t>海口市金融控股</w:t>
      </w:r>
      <w:r>
        <w:rPr>
          <w:rFonts w:hint="eastAsia" w:ascii="仿宋" w:hAnsi="仿宋" w:eastAsia="仿宋" w:cs="仿宋_GB2312"/>
          <w:color w:val="auto"/>
          <w:sz w:val="32"/>
          <w:szCs w:val="32"/>
          <w:highlight w:val="none"/>
        </w:rPr>
        <w:t>集团有限公司企业主体评级服务采购项目比选文件》，愿意按</w:t>
      </w:r>
      <w:r>
        <w:rPr>
          <w:rFonts w:hint="eastAsia" w:ascii="仿宋" w:hAnsi="仿宋" w:eastAsia="仿宋" w:cs="仿宋_GB2312"/>
          <w:color w:val="auto"/>
          <w:sz w:val="32"/>
          <w:szCs w:val="32"/>
          <w:highlight w:val="none"/>
          <w:lang w:val="en-US" w:eastAsia="zh-CN"/>
        </w:rPr>
        <w:t>以下价格（</w:t>
      </w:r>
      <w:r>
        <w:rPr>
          <w:rFonts w:hint="eastAsia" w:ascii="仿宋" w:hAnsi="仿宋" w:eastAsia="仿宋" w:cs="仿宋_GB2312"/>
          <w:color w:val="auto"/>
          <w:sz w:val="32"/>
          <w:szCs w:val="32"/>
          <w:highlight w:val="none"/>
        </w:rPr>
        <w:t>含由此产生的差旅费、税费等所有费用</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承包采购比选文件规定的服务，并开具增值税专用发票</w:t>
      </w:r>
      <w:r>
        <w:rPr>
          <w:rFonts w:hint="eastAsia" w:ascii="仿宋" w:hAnsi="仿宋" w:eastAsia="仿宋" w:cs="仿宋_GB2312"/>
          <w:color w:val="auto"/>
          <w:sz w:val="32"/>
          <w:szCs w:val="32"/>
          <w:highlight w:val="none"/>
          <w:lang w:eastAsia="zh-CN"/>
        </w:rPr>
        <w:t>：</w:t>
      </w:r>
    </w:p>
    <w:p w14:paraId="2489199C">
      <w:pPr>
        <w:numPr>
          <w:ilvl w:val="0"/>
          <w:numId w:val="0"/>
        </w:numPr>
        <w:spacing w:line="560" w:lineRule="exact"/>
        <w:ind w:left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三年总金额：大写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元（小写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w:t>
      </w:r>
    </w:p>
    <w:p w14:paraId="4316C4B9">
      <w:pPr>
        <w:numPr>
          <w:ilvl w:val="0"/>
          <w:numId w:val="0"/>
        </w:numPr>
        <w:spacing w:line="560" w:lineRule="exact"/>
        <w:ind w:left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每年金额：大写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元（小写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元）【每年一致】</w:t>
      </w:r>
    </w:p>
    <w:p w14:paraId="01DEEDDD">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同意所递交的</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文件自</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截止时间起的</w:t>
      </w:r>
      <w:r>
        <w:rPr>
          <w:rFonts w:hint="eastAsia" w:ascii="仿宋" w:hAnsi="仿宋" w:eastAsia="仿宋" w:cs="仿宋_GB2312"/>
          <w:color w:val="auto"/>
          <w:sz w:val="32"/>
          <w:szCs w:val="32"/>
          <w:highlight w:val="none"/>
          <w:lang w:val="en-US" w:eastAsia="zh-CN"/>
        </w:rPr>
        <w:t>90天</w:t>
      </w:r>
      <w:r>
        <w:rPr>
          <w:rFonts w:hint="eastAsia" w:ascii="仿宋" w:hAnsi="仿宋" w:eastAsia="仿宋" w:cs="仿宋_GB2312"/>
          <w:color w:val="auto"/>
          <w:sz w:val="32"/>
          <w:szCs w:val="32"/>
          <w:highlight w:val="none"/>
        </w:rPr>
        <w:t>及经我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同意延长的期限内持续有效，在此期间内比选文件对我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持续具有约束力并可随时被接受，我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文件或修改比选报价，经贵司同意除外，我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A598FA5">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如果我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比</w:t>
      </w:r>
      <w:r>
        <w:rPr>
          <w:rFonts w:hint="eastAsia" w:ascii="仿宋" w:hAnsi="仿宋" w:eastAsia="仿宋" w:cs="仿宋_GB2312"/>
          <w:color w:val="auto"/>
          <w:sz w:val="32"/>
          <w:szCs w:val="32"/>
          <w:highlight w:val="none"/>
        </w:rPr>
        <w:t>选被接受，我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文件直至合同履行完毕持续有效，并承诺按</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人要求的时间及双方协商一致的条款签订合同。</w:t>
      </w:r>
    </w:p>
    <w:p w14:paraId="1B51902A">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愿意提供贵司要求的有关本次比选的其他资料。</w:t>
      </w:r>
    </w:p>
    <w:p w14:paraId="0A9063FA">
      <w:pPr>
        <w:numPr>
          <w:ilvl w:val="0"/>
          <w:numId w:val="8"/>
        </w:numPr>
        <w:spacing w:line="560" w:lineRule="exact"/>
        <w:ind w:firstLine="640" w:firstLineChars="200"/>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自行负担有关本次比选的所用费用和风险。</w:t>
      </w:r>
    </w:p>
    <w:p w14:paraId="629E8898">
      <w:pPr>
        <w:numPr>
          <w:ilvl w:val="0"/>
          <w:numId w:val="0"/>
        </w:numPr>
        <w:spacing w:line="560" w:lineRule="exact"/>
        <w:ind w:leftChars="200"/>
        <w:rPr>
          <w:rFonts w:ascii="仿宋" w:hAnsi="仿宋" w:eastAsia="仿宋"/>
          <w:color w:val="auto"/>
          <w:sz w:val="32"/>
          <w:szCs w:val="32"/>
          <w:highlight w:val="none"/>
        </w:rPr>
      </w:pPr>
    </w:p>
    <w:p w14:paraId="5FDFDC85">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6AF7B6B9">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p>
    <w:p w14:paraId="050C614F">
      <w:pPr>
        <w:spacing w:line="578" w:lineRule="exact"/>
        <w:ind w:firstLine="640" w:firstLineChars="200"/>
        <w:jc w:val="right"/>
        <w:rPr>
          <w:rFonts w:hint="eastAsia" w:ascii="仿宋" w:hAnsi="仿宋" w:eastAsia="仿宋" w:cs="仿宋_GB2312"/>
          <w:color w:val="auto"/>
          <w:sz w:val="32"/>
          <w:szCs w:val="32"/>
          <w:highlight w:val="none"/>
        </w:rPr>
      </w:pPr>
    </w:p>
    <w:p w14:paraId="72CA8F05">
      <w:pPr>
        <w:spacing w:line="578" w:lineRule="exact"/>
        <w:ind w:firstLine="640" w:firstLineChars="200"/>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日期：   年   月   日         </w:t>
      </w:r>
    </w:p>
    <w:p w14:paraId="16FA695E">
      <w:pPr>
        <w:spacing w:line="578" w:lineRule="exac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FD903F9">
      <w:pPr>
        <w:spacing w:line="578" w:lineRule="exact"/>
        <w:outlineLvl w:val="0"/>
        <w:rPr>
          <w:rFonts w:hint="eastAsia" w:ascii="黑体" w:hAnsi="黑体" w:eastAsia="黑体" w:cs="黑体"/>
          <w:color w:val="auto"/>
          <w:sz w:val="32"/>
          <w:szCs w:val="32"/>
          <w:highlight w:val="none"/>
          <w:lang w:val="en-US" w:eastAsia="zh-CN"/>
        </w:rPr>
      </w:pPr>
      <w:bookmarkStart w:id="47" w:name="_Toc22933"/>
      <w:r>
        <w:rPr>
          <w:rFonts w:hint="eastAsia" w:ascii="黑体" w:hAnsi="黑体" w:eastAsia="黑体" w:cs="黑体"/>
          <w:color w:val="auto"/>
          <w:sz w:val="32"/>
          <w:szCs w:val="32"/>
          <w:highlight w:val="none"/>
        </w:rPr>
        <w:t>附件</w:t>
      </w:r>
      <w:bookmarkEnd w:id="47"/>
      <w:r>
        <w:rPr>
          <w:rFonts w:hint="eastAsia" w:ascii="黑体" w:hAnsi="黑体" w:eastAsia="黑体" w:cs="黑体"/>
          <w:color w:val="auto"/>
          <w:sz w:val="32"/>
          <w:szCs w:val="32"/>
          <w:highlight w:val="none"/>
          <w:lang w:val="en-US" w:eastAsia="zh-CN"/>
        </w:rPr>
        <w:t>3</w:t>
      </w:r>
    </w:p>
    <w:p w14:paraId="404A3EB0">
      <w:pPr>
        <w:pStyle w:val="3"/>
        <w:outlineLvl w:val="9"/>
        <w:rPr>
          <w:color w:val="auto"/>
          <w:highlight w:val="none"/>
          <w:lang w:val="en-US"/>
        </w:rPr>
      </w:pPr>
    </w:p>
    <w:p w14:paraId="58625803">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廉洁承诺书</w:t>
      </w:r>
    </w:p>
    <w:p w14:paraId="6B71F49A">
      <w:pPr>
        <w:spacing w:line="578" w:lineRule="exact"/>
        <w:rPr>
          <w:color w:val="auto"/>
          <w:highlight w:val="none"/>
        </w:rPr>
      </w:pPr>
    </w:p>
    <w:p w14:paraId="58FB6C5E">
      <w:pPr>
        <w:pStyle w:val="5"/>
        <w:spacing w:line="578"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海口市金融控股</w:t>
      </w:r>
      <w:r>
        <w:rPr>
          <w:rFonts w:hint="eastAsia" w:ascii="仿宋_GB2312" w:hAnsi="仿宋_GB2312" w:eastAsia="仿宋_GB2312" w:cs="仿宋_GB2312"/>
          <w:b/>
          <w:color w:val="auto"/>
          <w:sz w:val="32"/>
          <w:szCs w:val="32"/>
          <w:highlight w:val="none"/>
        </w:rPr>
        <w:t>集团有限公司</w:t>
      </w:r>
      <w:r>
        <w:rPr>
          <w:rFonts w:hint="eastAsia" w:ascii="仿宋_GB2312" w:hAnsi="仿宋_GB2312" w:eastAsia="仿宋_GB2312" w:cs="仿宋_GB2312"/>
          <w:color w:val="auto"/>
          <w:sz w:val="32"/>
          <w:szCs w:val="32"/>
          <w:highlight w:val="none"/>
        </w:rPr>
        <w:t>：</w:t>
      </w:r>
    </w:p>
    <w:p w14:paraId="4D1312C6">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人承诺在比选过程中自觉遵守以下廉洁自律约定：</w:t>
      </w:r>
    </w:p>
    <w:p w14:paraId="17E36049">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人与</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人之间不存在任何个人利益动机；</w:t>
      </w:r>
    </w:p>
    <w:p w14:paraId="282C7810">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不引诱、骗取采购人员工泄露底价、价格、评审过程情况等商业秘密，不与其他比选单位串通；</w:t>
      </w:r>
    </w:p>
    <w:p w14:paraId="5054D16A">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不擅自与</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人员工就</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文件中的质量、数量、价格、工程量、验收等条款进行私下商谈或者达成默契以达到降低合同要求的行为；</w:t>
      </w:r>
    </w:p>
    <w:p w14:paraId="25C3D4AB">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人员工及其亲属或其委托人、代理人提供任何好处费、回扣、现金及有价证券、支付凭证、贵重礼物、借贷等；</w:t>
      </w:r>
    </w:p>
    <w:p w14:paraId="7CD70B61">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人员工及其亲属提供可能影响其公正履行职务行为的宴请、娱乐、体育、休闲、旅游等活动；</w:t>
      </w:r>
    </w:p>
    <w:p w14:paraId="5D20A24E">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不给</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人员工及其亲属报销任何费用；</w:t>
      </w:r>
    </w:p>
    <w:p w14:paraId="6C025958">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人员工及其亲属提供任何名借实贿的汽车、房产等；</w:t>
      </w:r>
    </w:p>
    <w:p w14:paraId="797E03E0">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人员工及其亲属提供家庭装修、工作、出国、留学等任何利益，或以委托理财方式输送利益；</w:t>
      </w:r>
    </w:p>
    <w:p w14:paraId="46830FEB">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确保本机构人员了解并自觉遵守本承诺书，若发现本机构任何人员有向采购人员工行贿倾向、建议或行为的，应予制止、批评教育，并主动向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人通报有关情况。发现</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人员工有索贿、受贿行为的，应坚决拒绝，并向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w:t>
      </w:r>
      <w:r>
        <w:rPr>
          <w:rFonts w:hint="eastAsia" w:ascii="仿宋" w:hAnsi="仿宋" w:eastAsia="仿宋" w:cs="仿宋_GB2312"/>
          <w:color w:val="auto"/>
          <w:sz w:val="32"/>
          <w:szCs w:val="32"/>
          <w:highlight w:val="none"/>
          <w:lang w:val="en-US" w:eastAsia="zh-CN"/>
        </w:rPr>
        <w:t>监督</w:t>
      </w:r>
      <w:r>
        <w:rPr>
          <w:rFonts w:hint="eastAsia" w:ascii="仿宋" w:hAnsi="仿宋" w:eastAsia="仿宋" w:cs="仿宋_GB2312"/>
          <w:color w:val="auto"/>
          <w:sz w:val="32"/>
          <w:szCs w:val="32"/>
          <w:highlight w:val="none"/>
        </w:rPr>
        <w:t>部</w:t>
      </w:r>
      <w:r>
        <w:rPr>
          <w:rFonts w:hint="eastAsia" w:ascii="仿宋" w:hAnsi="仿宋" w:eastAsia="仿宋" w:cs="仿宋_GB2312"/>
          <w:color w:val="auto"/>
          <w:sz w:val="32"/>
          <w:szCs w:val="32"/>
          <w:highlight w:val="none"/>
          <w:lang w:val="en-US" w:eastAsia="zh-CN"/>
        </w:rPr>
        <w:t>门</w:t>
      </w:r>
      <w:r>
        <w:rPr>
          <w:rFonts w:hint="eastAsia" w:ascii="仿宋" w:hAnsi="仿宋" w:eastAsia="仿宋" w:cs="仿宋_GB2312"/>
          <w:color w:val="auto"/>
          <w:sz w:val="32"/>
          <w:szCs w:val="32"/>
          <w:highlight w:val="none"/>
        </w:rPr>
        <w:t>举报。</w:t>
      </w:r>
    </w:p>
    <w:p w14:paraId="474F59EA">
      <w:pPr>
        <w:spacing w:line="578" w:lineRule="exact"/>
        <w:ind w:firstLine="640" w:firstLineChars="200"/>
        <w:rPr>
          <w:rFonts w:ascii="仿宋" w:hAnsi="仿宋" w:eastAsia="仿宋" w:cs="仿宋_GB2312"/>
          <w:color w:val="auto"/>
          <w:sz w:val="32"/>
          <w:szCs w:val="32"/>
          <w:highlight w:val="none"/>
        </w:rPr>
      </w:pPr>
    </w:p>
    <w:p w14:paraId="1BA3EDC2">
      <w:pPr>
        <w:spacing w:line="578" w:lineRule="exact"/>
        <w:rPr>
          <w:rFonts w:ascii="仿宋" w:hAnsi="仿宋" w:eastAsia="仿宋"/>
          <w:color w:val="auto"/>
          <w:sz w:val="32"/>
          <w:szCs w:val="32"/>
          <w:highlight w:val="none"/>
        </w:rPr>
      </w:pPr>
    </w:p>
    <w:p w14:paraId="0D85CFDE">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742474F5">
      <w:pPr>
        <w:spacing w:line="578" w:lineRule="exact"/>
        <w:ind w:firstLine="480"/>
        <w:jc w:val="left"/>
        <w:rPr>
          <w:rFonts w:ascii="仿宋" w:hAnsi="仿宋" w:eastAsia="仿宋" w:cs="仿宋_GB2312"/>
          <w:color w:val="auto"/>
          <w:sz w:val="32"/>
          <w:szCs w:val="32"/>
          <w:highlight w:val="none"/>
        </w:rPr>
      </w:pPr>
    </w:p>
    <w:p w14:paraId="414CB47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251BF8CB">
      <w:pPr>
        <w:spacing w:line="578" w:lineRule="exact"/>
        <w:ind w:firstLine="480"/>
        <w:jc w:val="left"/>
        <w:rPr>
          <w:rFonts w:ascii="仿宋" w:hAnsi="仿宋" w:eastAsia="仿宋" w:cs="仿宋_GB2312"/>
          <w:color w:val="auto"/>
          <w:sz w:val="32"/>
          <w:szCs w:val="32"/>
          <w:highlight w:val="none"/>
        </w:rPr>
      </w:pPr>
    </w:p>
    <w:p w14:paraId="44832BC4">
      <w:pPr>
        <w:spacing w:line="578" w:lineRule="exact"/>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07F1BBAF">
      <w:pPr>
        <w:spacing w:line="578" w:lineRule="exact"/>
        <w:rPr>
          <w:color w:val="auto"/>
          <w:sz w:val="32"/>
          <w:szCs w:val="32"/>
          <w:highlight w:val="none"/>
        </w:rPr>
      </w:pPr>
    </w:p>
    <w:p w14:paraId="734E9E0E">
      <w:pPr>
        <w:spacing w:line="578" w:lineRule="exact"/>
        <w:rPr>
          <w:color w:val="auto"/>
          <w:sz w:val="32"/>
          <w:szCs w:val="32"/>
          <w:highlight w:val="none"/>
        </w:rPr>
      </w:pPr>
    </w:p>
    <w:p w14:paraId="0B0957E9">
      <w:pPr>
        <w:spacing w:line="578" w:lineRule="exact"/>
        <w:rPr>
          <w:color w:val="auto"/>
          <w:highlight w:val="none"/>
        </w:rPr>
      </w:pPr>
      <w:r>
        <w:rPr>
          <w:color w:val="auto"/>
          <w:highlight w:val="none"/>
        </w:rPr>
        <w:br w:type="page"/>
      </w:r>
    </w:p>
    <w:p w14:paraId="2F376FEF">
      <w:pPr>
        <w:wordWrap w:val="0"/>
        <w:adjustRightInd w:val="0"/>
        <w:snapToGrid w:val="0"/>
        <w:spacing w:line="578" w:lineRule="exact"/>
        <w:ind w:firstLine="640" w:firstLineChars="200"/>
        <w:jc w:val="right"/>
        <w:rPr>
          <w:rFonts w:ascii="仿宋_GB2312" w:hAnsi="仿宋_GB2312" w:eastAsia="仿宋_GB2312" w:cs="仿宋_GB2312"/>
          <w:color w:val="auto"/>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E75924F">
      <w:pPr>
        <w:spacing w:line="578" w:lineRule="exact"/>
        <w:outlineLvl w:val="0"/>
        <w:rPr>
          <w:rFonts w:hint="eastAsia" w:ascii="黑体" w:hAnsi="黑体" w:eastAsia="黑体" w:cs="黑体"/>
          <w:color w:val="auto"/>
          <w:sz w:val="32"/>
          <w:szCs w:val="32"/>
          <w:highlight w:val="none"/>
          <w:lang w:val="en-US" w:eastAsia="zh-CN"/>
        </w:rPr>
      </w:pPr>
      <w:bookmarkStart w:id="48" w:name="_Toc19186"/>
      <w:r>
        <w:rPr>
          <w:rFonts w:hint="eastAsia" w:ascii="黑体" w:hAnsi="黑体" w:eastAsia="黑体" w:cs="黑体"/>
          <w:color w:val="auto"/>
          <w:sz w:val="32"/>
          <w:szCs w:val="32"/>
          <w:highlight w:val="none"/>
        </w:rPr>
        <w:t>附件</w:t>
      </w:r>
      <w:bookmarkEnd w:id="48"/>
      <w:r>
        <w:rPr>
          <w:rFonts w:hint="eastAsia" w:ascii="黑体" w:hAnsi="黑体" w:eastAsia="黑体" w:cs="黑体"/>
          <w:color w:val="auto"/>
          <w:sz w:val="32"/>
          <w:szCs w:val="32"/>
          <w:highlight w:val="none"/>
          <w:lang w:val="en-US" w:eastAsia="zh-CN"/>
        </w:rPr>
        <w:t>4</w:t>
      </w:r>
    </w:p>
    <w:p w14:paraId="4219A68D">
      <w:pPr>
        <w:pStyle w:val="3"/>
        <w:outlineLvl w:val="9"/>
        <w:rPr>
          <w:color w:val="auto"/>
          <w:highlight w:val="none"/>
          <w:lang w:val="en-US"/>
        </w:rPr>
      </w:pPr>
    </w:p>
    <w:p w14:paraId="10A7CEC3">
      <w:pPr>
        <w:spacing w:line="578" w:lineRule="exact"/>
        <w:ind w:firstLine="723"/>
        <w:jc w:val="center"/>
        <w:outlineLvl w:val="0"/>
        <w:rPr>
          <w:rFonts w:ascii="方正小标宋简体" w:hAnsi="方正小标宋简体" w:eastAsia="方正小标宋简体" w:cs="方正小标宋简体"/>
          <w:color w:val="auto"/>
          <w:sz w:val="44"/>
          <w:szCs w:val="44"/>
          <w:highlight w:val="none"/>
        </w:rPr>
      </w:pPr>
      <w:bookmarkStart w:id="49" w:name="_Toc20402"/>
      <w:bookmarkStart w:id="50" w:name="_Toc14352"/>
      <w:r>
        <w:rPr>
          <w:rFonts w:hint="eastAsia" w:ascii="方正小标宋简体" w:hAnsi="方正小标宋简体" w:eastAsia="方正小标宋简体" w:cs="方正小标宋简体"/>
          <w:color w:val="auto"/>
          <w:sz w:val="44"/>
          <w:szCs w:val="44"/>
          <w:highlight w:val="none"/>
        </w:rPr>
        <w:t>无重大违法记录声明函</w:t>
      </w:r>
      <w:bookmarkEnd w:id="49"/>
      <w:bookmarkEnd w:id="50"/>
    </w:p>
    <w:p w14:paraId="2B6FC96F">
      <w:pPr>
        <w:spacing w:line="578" w:lineRule="exact"/>
        <w:rPr>
          <w:color w:val="auto"/>
          <w:highlight w:val="none"/>
        </w:rPr>
      </w:pPr>
    </w:p>
    <w:p w14:paraId="32C7B6C5">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我单位郑重声明</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近3年（自202</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月1日起至本项目响应文件提交截止之日止）</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在经营活动中无以下不良行为记录：没有处于被责令停业、投标资格被取消、财产被接管、冻结、破产状态，在经营活动中没有重大违法记录。</w:t>
      </w:r>
    </w:p>
    <w:p w14:paraId="618C1434">
      <w:pPr>
        <w:pStyle w:val="22"/>
        <w:spacing w:line="578" w:lineRule="exact"/>
        <w:rPr>
          <w:rFonts w:ascii="仿宋" w:hAnsi="仿宋" w:eastAsia="仿宋"/>
          <w:color w:val="auto"/>
          <w:sz w:val="32"/>
          <w:szCs w:val="32"/>
          <w:highlight w:val="none"/>
          <w:lang w:eastAsia="zh-CN"/>
        </w:rPr>
      </w:pPr>
    </w:p>
    <w:p w14:paraId="322B0938">
      <w:pPr>
        <w:pStyle w:val="22"/>
        <w:spacing w:line="578" w:lineRule="exact"/>
        <w:rPr>
          <w:rFonts w:ascii="仿宋" w:hAnsi="仿宋" w:eastAsia="仿宋"/>
          <w:color w:val="auto"/>
          <w:sz w:val="32"/>
          <w:szCs w:val="32"/>
          <w:highlight w:val="none"/>
          <w:lang w:eastAsia="zh-CN"/>
        </w:rPr>
      </w:pPr>
    </w:p>
    <w:p w14:paraId="216BBAC8">
      <w:pPr>
        <w:pStyle w:val="22"/>
        <w:spacing w:line="578" w:lineRule="exact"/>
        <w:rPr>
          <w:rFonts w:ascii="仿宋" w:hAnsi="仿宋" w:eastAsia="仿宋"/>
          <w:color w:val="auto"/>
          <w:sz w:val="32"/>
          <w:szCs w:val="32"/>
          <w:highlight w:val="none"/>
          <w:lang w:eastAsia="zh-CN"/>
        </w:rPr>
      </w:pPr>
    </w:p>
    <w:p w14:paraId="6C16D6DA">
      <w:pPr>
        <w:pStyle w:val="22"/>
        <w:spacing w:line="578" w:lineRule="exact"/>
        <w:rPr>
          <w:rFonts w:ascii="仿宋" w:hAnsi="仿宋" w:eastAsia="仿宋"/>
          <w:color w:val="auto"/>
          <w:sz w:val="32"/>
          <w:szCs w:val="32"/>
          <w:highlight w:val="none"/>
          <w:lang w:eastAsia="zh-CN"/>
        </w:rPr>
      </w:pPr>
    </w:p>
    <w:p w14:paraId="1D67B07A">
      <w:pPr>
        <w:pStyle w:val="22"/>
        <w:spacing w:line="578" w:lineRule="exact"/>
        <w:rPr>
          <w:rFonts w:ascii="仿宋" w:hAnsi="仿宋" w:eastAsia="仿宋"/>
          <w:color w:val="auto"/>
          <w:sz w:val="32"/>
          <w:szCs w:val="32"/>
          <w:highlight w:val="none"/>
          <w:lang w:eastAsia="zh-CN"/>
        </w:rPr>
      </w:pPr>
    </w:p>
    <w:p w14:paraId="392BCB2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130C53DF">
      <w:pPr>
        <w:spacing w:line="578" w:lineRule="exact"/>
        <w:ind w:firstLine="480"/>
        <w:jc w:val="left"/>
        <w:rPr>
          <w:rFonts w:ascii="仿宋" w:hAnsi="仿宋" w:eastAsia="仿宋" w:cs="仿宋_GB2312"/>
          <w:color w:val="auto"/>
          <w:sz w:val="32"/>
          <w:szCs w:val="32"/>
          <w:highlight w:val="none"/>
        </w:rPr>
      </w:pPr>
    </w:p>
    <w:p w14:paraId="1DC60EA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61CAC7C8">
      <w:pPr>
        <w:spacing w:line="578" w:lineRule="exact"/>
        <w:ind w:firstLine="480"/>
        <w:jc w:val="left"/>
        <w:rPr>
          <w:rFonts w:ascii="仿宋" w:hAnsi="仿宋" w:eastAsia="仿宋" w:cs="仿宋_GB2312"/>
          <w:color w:val="auto"/>
          <w:sz w:val="32"/>
          <w:szCs w:val="32"/>
          <w:highlight w:val="none"/>
        </w:rPr>
      </w:pPr>
    </w:p>
    <w:p w14:paraId="0B8609D2">
      <w:pPr>
        <w:spacing w:line="578" w:lineRule="exact"/>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108E1409">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8EE00E-80FE-4FA3-B01F-F00A1BDBEE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5B589B35-2166-437C-BDDF-6445F0E8DFFE}"/>
  </w:font>
  <w:font w:name="仿宋">
    <w:panose1 w:val="02010609060101010101"/>
    <w:charset w:val="86"/>
    <w:family w:val="modern"/>
    <w:pitch w:val="default"/>
    <w:sig w:usb0="800002BF" w:usb1="38CF7CFA" w:usb2="00000016" w:usb3="00000000" w:csb0="00040001" w:csb1="00000000"/>
    <w:embedRegular r:id="rId3" w:fontKey="{49ADAD1B-43F4-433A-8954-2E9C9D4C58F0}"/>
  </w:font>
  <w:font w:name="仿宋_GB2312">
    <w:panose1 w:val="02010609030101010101"/>
    <w:charset w:val="86"/>
    <w:family w:val="modern"/>
    <w:pitch w:val="default"/>
    <w:sig w:usb0="00000001" w:usb1="080E0000" w:usb2="00000000" w:usb3="00000000" w:csb0="00040000" w:csb1="00000000"/>
    <w:embedRegular r:id="rId4" w:fontKey="{2421B078-0FD4-4C46-8C5D-C18F14C17494}"/>
  </w:font>
  <w:font w:name="Segoe UI">
    <w:panose1 w:val="020B0502040204020203"/>
    <w:charset w:val="00"/>
    <w:family w:val="swiss"/>
    <w:pitch w:val="default"/>
    <w:sig w:usb0="E4002EFF" w:usb1="C000E47F" w:usb2="00000009" w:usb3="00000000" w:csb0="200001FF" w:csb1="00000000"/>
    <w:embedRegular r:id="rId5" w:fontKey="{CE944427-7AAE-4D36-ABDD-7EFCCB6BDB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EB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7CD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73956">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C73956">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88C0">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4777D"/>
    <w:multiLevelType w:val="singleLevel"/>
    <w:tmpl w:val="D344777D"/>
    <w:lvl w:ilvl="0" w:tentative="0">
      <w:start w:val="2"/>
      <w:numFmt w:val="decimal"/>
      <w:suff w:val="nothing"/>
      <w:lvlText w:val="（%1）"/>
      <w:lvlJc w:val="left"/>
    </w:lvl>
  </w:abstractNum>
  <w:abstractNum w:abstractNumId="1">
    <w:nsid w:val="DDF060A6"/>
    <w:multiLevelType w:val="singleLevel"/>
    <w:tmpl w:val="DDF060A6"/>
    <w:lvl w:ilvl="0" w:tentative="0">
      <w:start w:val="1"/>
      <w:numFmt w:val="chineseCounting"/>
      <w:suff w:val="nothing"/>
      <w:lvlText w:val="（%1）"/>
      <w:lvlJc w:val="left"/>
      <w:pPr>
        <w:ind w:left="0" w:firstLine="420"/>
      </w:pPr>
      <w:rPr>
        <w:rFonts w:hint="eastAsia"/>
      </w:rPr>
    </w:lvl>
  </w:abstractNum>
  <w:abstractNum w:abstractNumId="2">
    <w:nsid w:val="00EB9C8B"/>
    <w:multiLevelType w:val="singleLevel"/>
    <w:tmpl w:val="00EB9C8B"/>
    <w:lvl w:ilvl="0" w:tentative="0">
      <w:start w:val="1"/>
      <w:numFmt w:val="decimal"/>
      <w:suff w:val="nothing"/>
      <w:lvlText w:val="%1．"/>
      <w:lvlJc w:val="left"/>
      <w:pPr>
        <w:ind w:left="0" w:firstLine="400"/>
      </w:pPr>
      <w:rPr>
        <w:rFonts w:hint="default"/>
      </w:rPr>
    </w:lvl>
  </w:abstractNum>
  <w:abstractNum w:abstractNumId="3">
    <w:nsid w:val="1476BDDF"/>
    <w:multiLevelType w:val="singleLevel"/>
    <w:tmpl w:val="1476BDDF"/>
    <w:lvl w:ilvl="0" w:tentative="0">
      <w:start w:val="1"/>
      <w:numFmt w:val="chineseCounting"/>
      <w:suff w:val="nothing"/>
      <w:lvlText w:val="%1、"/>
      <w:lvlJc w:val="left"/>
      <w:rPr>
        <w:rFonts w:hint="eastAsia"/>
      </w:rPr>
    </w:lvl>
  </w:abstractNum>
  <w:abstractNum w:abstractNumId="4">
    <w:nsid w:val="3E60E08A"/>
    <w:multiLevelType w:val="singleLevel"/>
    <w:tmpl w:val="3E60E08A"/>
    <w:lvl w:ilvl="0" w:tentative="0">
      <w:start w:val="1"/>
      <w:numFmt w:val="chineseCounting"/>
      <w:suff w:val="nothing"/>
      <w:lvlText w:val="（%1）"/>
      <w:lvlJc w:val="left"/>
      <w:pPr>
        <w:ind w:left="0" w:firstLine="420"/>
      </w:pPr>
      <w:rPr>
        <w:rFonts w:hint="eastAsia"/>
      </w:rPr>
    </w:lvl>
  </w:abstractNum>
  <w:abstractNum w:abstractNumId="5">
    <w:nsid w:val="4A4F39BC"/>
    <w:multiLevelType w:val="singleLevel"/>
    <w:tmpl w:val="4A4F39BC"/>
    <w:lvl w:ilvl="0" w:tentative="0">
      <w:start w:val="1"/>
      <w:numFmt w:val="chineseCounting"/>
      <w:suff w:val="nothing"/>
      <w:lvlText w:val="%1、"/>
      <w:lvlJc w:val="left"/>
      <w:rPr>
        <w:rFonts w:hint="eastAsia"/>
      </w:rPr>
    </w:lvl>
  </w:abstractNum>
  <w:abstractNum w:abstractNumId="6">
    <w:nsid w:val="69D721C0"/>
    <w:multiLevelType w:val="singleLevel"/>
    <w:tmpl w:val="69D721C0"/>
    <w:lvl w:ilvl="0" w:tentative="0">
      <w:start w:val="1"/>
      <w:numFmt w:val="chineseCounting"/>
      <w:suff w:val="nothing"/>
      <w:lvlText w:val="（%1）"/>
      <w:lvlJc w:val="left"/>
      <w:pPr>
        <w:ind w:left="0" w:firstLine="420"/>
      </w:pPr>
      <w:rPr>
        <w:rFonts w:hint="eastAsia"/>
      </w:rPr>
    </w:lvl>
  </w:abstractNum>
  <w:abstractNum w:abstractNumId="7">
    <w:nsid w:val="74D89812"/>
    <w:multiLevelType w:val="multilevel"/>
    <w:tmpl w:val="74D8981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8"/>
  </w:num>
  <w:num w:numId="2">
    <w:abstractNumId w:val="7"/>
  </w:num>
  <w:num w:numId="3">
    <w:abstractNumId w:val="3"/>
  </w:num>
  <w:num w:numId="4">
    <w:abstractNumId w:val="6"/>
  </w:num>
  <w:num w:numId="5">
    <w:abstractNumId w:val="1"/>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Y2U4MzU0NzI5YTNiNjk0NDUzYjI0MWRkNzhhZGIifQ=="/>
    <w:docVar w:name="KSO_WPS_MARK_KEY" w:val="839936be-7fcb-406d-bb93-0baa4c2029ed"/>
  </w:docVars>
  <w:rsids>
    <w:rsidRoot w:val="010E20DA"/>
    <w:rsid w:val="00194C09"/>
    <w:rsid w:val="005F1428"/>
    <w:rsid w:val="006065F4"/>
    <w:rsid w:val="00636848"/>
    <w:rsid w:val="00787750"/>
    <w:rsid w:val="008324C9"/>
    <w:rsid w:val="0092667C"/>
    <w:rsid w:val="00A8462D"/>
    <w:rsid w:val="00B00BD6"/>
    <w:rsid w:val="00B257FB"/>
    <w:rsid w:val="00CE3554"/>
    <w:rsid w:val="00ED3661"/>
    <w:rsid w:val="010E20DA"/>
    <w:rsid w:val="010E6913"/>
    <w:rsid w:val="01325A8F"/>
    <w:rsid w:val="019A60D7"/>
    <w:rsid w:val="01DC77EE"/>
    <w:rsid w:val="01E61FE3"/>
    <w:rsid w:val="029C6285"/>
    <w:rsid w:val="03331193"/>
    <w:rsid w:val="038C575E"/>
    <w:rsid w:val="03A83D63"/>
    <w:rsid w:val="03BF0DB3"/>
    <w:rsid w:val="046A0B31"/>
    <w:rsid w:val="04773CEA"/>
    <w:rsid w:val="04A03E4D"/>
    <w:rsid w:val="04C87066"/>
    <w:rsid w:val="04E8539D"/>
    <w:rsid w:val="0526590B"/>
    <w:rsid w:val="05861948"/>
    <w:rsid w:val="05A609AF"/>
    <w:rsid w:val="05AD3C2E"/>
    <w:rsid w:val="05B250B3"/>
    <w:rsid w:val="05C0796F"/>
    <w:rsid w:val="05FA6CDE"/>
    <w:rsid w:val="05FE28DF"/>
    <w:rsid w:val="06061004"/>
    <w:rsid w:val="061C01E5"/>
    <w:rsid w:val="065B7836"/>
    <w:rsid w:val="067C66F2"/>
    <w:rsid w:val="06A72A7B"/>
    <w:rsid w:val="06DF2215"/>
    <w:rsid w:val="06F97EFA"/>
    <w:rsid w:val="07356860"/>
    <w:rsid w:val="07752464"/>
    <w:rsid w:val="08A47C77"/>
    <w:rsid w:val="08D30F11"/>
    <w:rsid w:val="08D4782D"/>
    <w:rsid w:val="092F4010"/>
    <w:rsid w:val="093D4FB7"/>
    <w:rsid w:val="098470A4"/>
    <w:rsid w:val="099D6761"/>
    <w:rsid w:val="0A310FDA"/>
    <w:rsid w:val="0A5F390E"/>
    <w:rsid w:val="0AD14C34"/>
    <w:rsid w:val="0B161559"/>
    <w:rsid w:val="0B5B67FD"/>
    <w:rsid w:val="0B6574A7"/>
    <w:rsid w:val="0BA856A3"/>
    <w:rsid w:val="0BDE0664"/>
    <w:rsid w:val="0C1D3E05"/>
    <w:rsid w:val="0C762CD4"/>
    <w:rsid w:val="0C814EB1"/>
    <w:rsid w:val="0C86152F"/>
    <w:rsid w:val="0CA5554C"/>
    <w:rsid w:val="0CCF6888"/>
    <w:rsid w:val="0DCB7A3C"/>
    <w:rsid w:val="0EC83A32"/>
    <w:rsid w:val="0EFF02FE"/>
    <w:rsid w:val="0F460457"/>
    <w:rsid w:val="0F584010"/>
    <w:rsid w:val="0FB55A94"/>
    <w:rsid w:val="101F784D"/>
    <w:rsid w:val="1122186D"/>
    <w:rsid w:val="11643F1C"/>
    <w:rsid w:val="11B37942"/>
    <w:rsid w:val="11C664AC"/>
    <w:rsid w:val="11D42564"/>
    <w:rsid w:val="11E33C5A"/>
    <w:rsid w:val="127811D7"/>
    <w:rsid w:val="13515B86"/>
    <w:rsid w:val="13F067A3"/>
    <w:rsid w:val="14327419"/>
    <w:rsid w:val="143D057B"/>
    <w:rsid w:val="147C31B5"/>
    <w:rsid w:val="149960C6"/>
    <w:rsid w:val="149D21F6"/>
    <w:rsid w:val="14DB4220"/>
    <w:rsid w:val="14EB5C6B"/>
    <w:rsid w:val="14F96FB1"/>
    <w:rsid w:val="150F7625"/>
    <w:rsid w:val="15802E15"/>
    <w:rsid w:val="15C56E32"/>
    <w:rsid w:val="16077093"/>
    <w:rsid w:val="169F699C"/>
    <w:rsid w:val="16D451C7"/>
    <w:rsid w:val="16FC1A94"/>
    <w:rsid w:val="173F41C8"/>
    <w:rsid w:val="179B3EDF"/>
    <w:rsid w:val="17F130D5"/>
    <w:rsid w:val="18A959CE"/>
    <w:rsid w:val="18B41024"/>
    <w:rsid w:val="18E402E6"/>
    <w:rsid w:val="19084360"/>
    <w:rsid w:val="191F14D4"/>
    <w:rsid w:val="19602C5A"/>
    <w:rsid w:val="19D10B51"/>
    <w:rsid w:val="19D51086"/>
    <w:rsid w:val="1A5D54D3"/>
    <w:rsid w:val="1A6E76E0"/>
    <w:rsid w:val="1AEE51C6"/>
    <w:rsid w:val="1B435847"/>
    <w:rsid w:val="1B4D553A"/>
    <w:rsid w:val="1B87475B"/>
    <w:rsid w:val="1BB750B7"/>
    <w:rsid w:val="1C450915"/>
    <w:rsid w:val="1C4B6BE5"/>
    <w:rsid w:val="1C7865F4"/>
    <w:rsid w:val="1C7D3C0B"/>
    <w:rsid w:val="1CB322BB"/>
    <w:rsid w:val="1D026B7A"/>
    <w:rsid w:val="1D340FF9"/>
    <w:rsid w:val="1D444728"/>
    <w:rsid w:val="1DDF38B4"/>
    <w:rsid w:val="1DE84876"/>
    <w:rsid w:val="1E47547E"/>
    <w:rsid w:val="1E607108"/>
    <w:rsid w:val="1EBC2FC3"/>
    <w:rsid w:val="1EEC4CE2"/>
    <w:rsid w:val="1F2820D4"/>
    <w:rsid w:val="20AC1080"/>
    <w:rsid w:val="211D55FD"/>
    <w:rsid w:val="21665EFE"/>
    <w:rsid w:val="21D0113C"/>
    <w:rsid w:val="21DC13D3"/>
    <w:rsid w:val="21EE1107"/>
    <w:rsid w:val="22592A24"/>
    <w:rsid w:val="234A5215"/>
    <w:rsid w:val="238B2A4B"/>
    <w:rsid w:val="239D38C6"/>
    <w:rsid w:val="23B50DD7"/>
    <w:rsid w:val="23F67FFF"/>
    <w:rsid w:val="241244F6"/>
    <w:rsid w:val="247661B8"/>
    <w:rsid w:val="24AC7783"/>
    <w:rsid w:val="24B26327"/>
    <w:rsid w:val="24CA12B3"/>
    <w:rsid w:val="24D12D46"/>
    <w:rsid w:val="25341526"/>
    <w:rsid w:val="25545A31"/>
    <w:rsid w:val="255539E1"/>
    <w:rsid w:val="25B867F2"/>
    <w:rsid w:val="25C467F0"/>
    <w:rsid w:val="261D1FBA"/>
    <w:rsid w:val="268A64EC"/>
    <w:rsid w:val="270513CC"/>
    <w:rsid w:val="271B474C"/>
    <w:rsid w:val="273A70F8"/>
    <w:rsid w:val="27466F3A"/>
    <w:rsid w:val="278F4829"/>
    <w:rsid w:val="27BA4980"/>
    <w:rsid w:val="27DF0851"/>
    <w:rsid w:val="27FA25B3"/>
    <w:rsid w:val="282D2989"/>
    <w:rsid w:val="286E431E"/>
    <w:rsid w:val="290C4C94"/>
    <w:rsid w:val="298505A2"/>
    <w:rsid w:val="2A262DCA"/>
    <w:rsid w:val="2A9525DE"/>
    <w:rsid w:val="2ABC7FF4"/>
    <w:rsid w:val="2AE41EC1"/>
    <w:rsid w:val="2B3109E2"/>
    <w:rsid w:val="2B713260"/>
    <w:rsid w:val="2B7408CF"/>
    <w:rsid w:val="2B7C00E6"/>
    <w:rsid w:val="2B9E1E2E"/>
    <w:rsid w:val="2BEE68D3"/>
    <w:rsid w:val="2CCA393F"/>
    <w:rsid w:val="2CD5161C"/>
    <w:rsid w:val="2D130259"/>
    <w:rsid w:val="2DE47F8D"/>
    <w:rsid w:val="2E0232A2"/>
    <w:rsid w:val="2E0C1292"/>
    <w:rsid w:val="2E185F8C"/>
    <w:rsid w:val="2E232138"/>
    <w:rsid w:val="2E542DEF"/>
    <w:rsid w:val="2E8B21B7"/>
    <w:rsid w:val="2EA03F79"/>
    <w:rsid w:val="2EB536D8"/>
    <w:rsid w:val="2F0758B9"/>
    <w:rsid w:val="2F3A598B"/>
    <w:rsid w:val="2F4A2072"/>
    <w:rsid w:val="2F9E09F3"/>
    <w:rsid w:val="2FFB0DA3"/>
    <w:rsid w:val="305C7CEA"/>
    <w:rsid w:val="30AE2B11"/>
    <w:rsid w:val="30C2321A"/>
    <w:rsid w:val="30CA33D5"/>
    <w:rsid w:val="30E66382"/>
    <w:rsid w:val="31863561"/>
    <w:rsid w:val="31BC755F"/>
    <w:rsid w:val="31C854D0"/>
    <w:rsid w:val="323D7C6C"/>
    <w:rsid w:val="32601BAD"/>
    <w:rsid w:val="326534AA"/>
    <w:rsid w:val="32F73B78"/>
    <w:rsid w:val="335135B0"/>
    <w:rsid w:val="337201F6"/>
    <w:rsid w:val="33962EB0"/>
    <w:rsid w:val="339A10EE"/>
    <w:rsid w:val="33CA08AA"/>
    <w:rsid w:val="33E466A1"/>
    <w:rsid w:val="33E62733"/>
    <w:rsid w:val="3444542D"/>
    <w:rsid w:val="34C802C0"/>
    <w:rsid w:val="355257BC"/>
    <w:rsid w:val="360D1B6A"/>
    <w:rsid w:val="36201D7F"/>
    <w:rsid w:val="3678790E"/>
    <w:rsid w:val="368077E8"/>
    <w:rsid w:val="368B2999"/>
    <w:rsid w:val="3701395E"/>
    <w:rsid w:val="372F06AE"/>
    <w:rsid w:val="3736112E"/>
    <w:rsid w:val="37734130"/>
    <w:rsid w:val="38903C62"/>
    <w:rsid w:val="38D155B2"/>
    <w:rsid w:val="393323D5"/>
    <w:rsid w:val="3A1957AC"/>
    <w:rsid w:val="3AE21327"/>
    <w:rsid w:val="3B2824B1"/>
    <w:rsid w:val="3B417571"/>
    <w:rsid w:val="3B6C3ADB"/>
    <w:rsid w:val="3B8A49B2"/>
    <w:rsid w:val="3BF22009"/>
    <w:rsid w:val="3C033CD5"/>
    <w:rsid w:val="3C631C88"/>
    <w:rsid w:val="3D213332"/>
    <w:rsid w:val="3D26209C"/>
    <w:rsid w:val="3D9F7A2D"/>
    <w:rsid w:val="3E42708C"/>
    <w:rsid w:val="3EA90437"/>
    <w:rsid w:val="3F0062A9"/>
    <w:rsid w:val="3F2C4ACD"/>
    <w:rsid w:val="3F9500F8"/>
    <w:rsid w:val="40BC3218"/>
    <w:rsid w:val="40D75209"/>
    <w:rsid w:val="411E5D27"/>
    <w:rsid w:val="41990C37"/>
    <w:rsid w:val="41B75188"/>
    <w:rsid w:val="42791CDE"/>
    <w:rsid w:val="42B775C7"/>
    <w:rsid w:val="42DB3BFC"/>
    <w:rsid w:val="43182BB7"/>
    <w:rsid w:val="43770B04"/>
    <w:rsid w:val="437D671A"/>
    <w:rsid w:val="43903069"/>
    <w:rsid w:val="440700DA"/>
    <w:rsid w:val="44157E50"/>
    <w:rsid w:val="441601EA"/>
    <w:rsid w:val="44233B99"/>
    <w:rsid w:val="447E358A"/>
    <w:rsid w:val="44D3240E"/>
    <w:rsid w:val="44DB3E5B"/>
    <w:rsid w:val="44E5468B"/>
    <w:rsid w:val="45486BFC"/>
    <w:rsid w:val="456501B7"/>
    <w:rsid w:val="45A50107"/>
    <w:rsid w:val="45C6670C"/>
    <w:rsid w:val="45E615FB"/>
    <w:rsid w:val="462674BE"/>
    <w:rsid w:val="462F1B6A"/>
    <w:rsid w:val="469D2F78"/>
    <w:rsid w:val="46A83CD3"/>
    <w:rsid w:val="46B8390E"/>
    <w:rsid w:val="46B84D3B"/>
    <w:rsid w:val="46C91677"/>
    <w:rsid w:val="46E41D4C"/>
    <w:rsid w:val="473467DE"/>
    <w:rsid w:val="47640ADF"/>
    <w:rsid w:val="478255AC"/>
    <w:rsid w:val="48484B71"/>
    <w:rsid w:val="4851035A"/>
    <w:rsid w:val="495A5863"/>
    <w:rsid w:val="49CA0DC2"/>
    <w:rsid w:val="49D8191E"/>
    <w:rsid w:val="49D8786C"/>
    <w:rsid w:val="4AF018C8"/>
    <w:rsid w:val="4BBC631B"/>
    <w:rsid w:val="4C25217C"/>
    <w:rsid w:val="4C2757BD"/>
    <w:rsid w:val="4C8E75EA"/>
    <w:rsid w:val="4CD25492"/>
    <w:rsid w:val="4D5123C6"/>
    <w:rsid w:val="4D814A59"/>
    <w:rsid w:val="4D9F00EC"/>
    <w:rsid w:val="4DF54920"/>
    <w:rsid w:val="4E7E71EB"/>
    <w:rsid w:val="4ED25209"/>
    <w:rsid w:val="4EFB3856"/>
    <w:rsid w:val="4EFE20DA"/>
    <w:rsid w:val="4F4421E2"/>
    <w:rsid w:val="4F915FEC"/>
    <w:rsid w:val="4FA023CA"/>
    <w:rsid w:val="4FA709C3"/>
    <w:rsid w:val="4FC7696F"/>
    <w:rsid w:val="4FDF68CD"/>
    <w:rsid w:val="508A322D"/>
    <w:rsid w:val="50903205"/>
    <w:rsid w:val="50DC04EE"/>
    <w:rsid w:val="51071719"/>
    <w:rsid w:val="515626A1"/>
    <w:rsid w:val="517E430A"/>
    <w:rsid w:val="51BA4347"/>
    <w:rsid w:val="530F6FAB"/>
    <w:rsid w:val="53802262"/>
    <w:rsid w:val="53D56513"/>
    <w:rsid w:val="53E25216"/>
    <w:rsid w:val="53FF4DBC"/>
    <w:rsid w:val="54482775"/>
    <w:rsid w:val="54636E2E"/>
    <w:rsid w:val="55054B6D"/>
    <w:rsid w:val="552E30B8"/>
    <w:rsid w:val="557A53FC"/>
    <w:rsid w:val="559248AA"/>
    <w:rsid w:val="55AA6B17"/>
    <w:rsid w:val="55AE6607"/>
    <w:rsid w:val="561670DB"/>
    <w:rsid w:val="56706834"/>
    <w:rsid w:val="56A34DC7"/>
    <w:rsid w:val="56D007FF"/>
    <w:rsid w:val="570A5ABF"/>
    <w:rsid w:val="577E726B"/>
    <w:rsid w:val="57886B88"/>
    <w:rsid w:val="578C4726"/>
    <w:rsid w:val="57A25EB7"/>
    <w:rsid w:val="57F251D7"/>
    <w:rsid w:val="588E631C"/>
    <w:rsid w:val="58A65CBC"/>
    <w:rsid w:val="58DF3299"/>
    <w:rsid w:val="597C5D3F"/>
    <w:rsid w:val="5A05482B"/>
    <w:rsid w:val="5A161C2A"/>
    <w:rsid w:val="5A353546"/>
    <w:rsid w:val="5AB25D4B"/>
    <w:rsid w:val="5ADA1D5F"/>
    <w:rsid w:val="5AF75339"/>
    <w:rsid w:val="5AF944F6"/>
    <w:rsid w:val="5B2A2F0E"/>
    <w:rsid w:val="5B3B425F"/>
    <w:rsid w:val="5B500161"/>
    <w:rsid w:val="5B623D2B"/>
    <w:rsid w:val="5BC42CE0"/>
    <w:rsid w:val="5C235F76"/>
    <w:rsid w:val="5C9D3DC2"/>
    <w:rsid w:val="5CE0434B"/>
    <w:rsid w:val="5D1C4E8A"/>
    <w:rsid w:val="5D276C9F"/>
    <w:rsid w:val="5D2B606A"/>
    <w:rsid w:val="5D325D70"/>
    <w:rsid w:val="5D867E6A"/>
    <w:rsid w:val="5E014DC5"/>
    <w:rsid w:val="5E4765B4"/>
    <w:rsid w:val="5ED87B48"/>
    <w:rsid w:val="5EE237C6"/>
    <w:rsid w:val="5F104586"/>
    <w:rsid w:val="5F6B37BB"/>
    <w:rsid w:val="5F865A6B"/>
    <w:rsid w:val="5FD274EE"/>
    <w:rsid w:val="6062071A"/>
    <w:rsid w:val="60807D9C"/>
    <w:rsid w:val="60FC5816"/>
    <w:rsid w:val="6131649D"/>
    <w:rsid w:val="61426602"/>
    <w:rsid w:val="61786E15"/>
    <w:rsid w:val="625271B2"/>
    <w:rsid w:val="62646828"/>
    <w:rsid w:val="62857746"/>
    <w:rsid w:val="629A41D2"/>
    <w:rsid w:val="62B14F5E"/>
    <w:rsid w:val="633D2BD8"/>
    <w:rsid w:val="63506F50"/>
    <w:rsid w:val="635C6CCD"/>
    <w:rsid w:val="6468651B"/>
    <w:rsid w:val="646A3EE8"/>
    <w:rsid w:val="64923598"/>
    <w:rsid w:val="650025F4"/>
    <w:rsid w:val="65B71508"/>
    <w:rsid w:val="65F312E0"/>
    <w:rsid w:val="65FE1EF4"/>
    <w:rsid w:val="66554CB2"/>
    <w:rsid w:val="667322A4"/>
    <w:rsid w:val="667512A3"/>
    <w:rsid w:val="668A5502"/>
    <w:rsid w:val="66C919AE"/>
    <w:rsid w:val="66DB2F4A"/>
    <w:rsid w:val="66FA6593"/>
    <w:rsid w:val="6759039D"/>
    <w:rsid w:val="676E3E49"/>
    <w:rsid w:val="67A21D44"/>
    <w:rsid w:val="67EB0BFA"/>
    <w:rsid w:val="6884200E"/>
    <w:rsid w:val="68BA687B"/>
    <w:rsid w:val="69266287"/>
    <w:rsid w:val="69453F13"/>
    <w:rsid w:val="6952484C"/>
    <w:rsid w:val="69786240"/>
    <w:rsid w:val="69E06F59"/>
    <w:rsid w:val="69F220F4"/>
    <w:rsid w:val="69FC50C4"/>
    <w:rsid w:val="6A1C5E06"/>
    <w:rsid w:val="6A3E4C35"/>
    <w:rsid w:val="6A636C96"/>
    <w:rsid w:val="6A750FA2"/>
    <w:rsid w:val="6AA05B7C"/>
    <w:rsid w:val="6AAD2EDA"/>
    <w:rsid w:val="6B617335"/>
    <w:rsid w:val="6B74351B"/>
    <w:rsid w:val="6C017CAC"/>
    <w:rsid w:val="6C3A69EF"/>
    <w:rsid w:val="6C692BA0"/>
    <w:rsid w:val="6C871713"/>
    <w:rsid w:val="6CC572DF"/>
    <w:rsid w:val="6D1A178E"/>
    <w:rsid w:val="6DA50AA8"/>
    <w:rsid w:val="6DE35910"/>
    <w:rsid w:val="6E3312B1"/>
    <w:rsid w:val="6E5042A8"/>
    <w:rsid w:val="6EA92216"/>
    <w:rsid w:val="6EDF6362"/>
    <w:rsid w:val="6F435BBB"/>
    <w:rsid w:val="6F6F084C"/>
    <w:rsid w:val="6F874C24"/>
    <w:rsid w:val="6F970DA9"/>
    <w:rsid w:val="6F9B379B"/>
    <w:rsid w:val="6FFF3D8F"/>
    <w:rsid w:val="70010ACE"/>
    <w:rsid w:val="70365454"/>
    <w:rsid w:val="70766C0E"/>
    <w:rsid w:val="70871AD7"/>
    <w:rsid w:val="70916FBE"/>
    <w:rsid w:val="7094163E"/>
    <w:rsid w:val="70F57389"/>
    <w:rsid w:val="710E170D"/>
    <w:rsid w:val="71426201"/>
    <w:rsid w:val="71645162"/>
    <w:rsid w:val="72004FC5"/>
    <w:rsid w:val="721E46BD"/>
    <w:rsid w:val="7248040E"/>
    <w:rsid w:val="72A454E4"/>
    <w:rsid w:val="736A3236"/>
    <w:rsid w:val="73F07F4A"/>
    <w:rsid w:val="741915E0"/>
    <w:rsid w:val="74552860"/>
    <w:rsid w:val="747E206E"/>
    <w:rsid w:val="75AF1DE1"/>
    <w:rsid w:val="75B16ECE"/>
    <w:rsid w:val="75D80B91"/>
    <w:rsid w:val="76096A41"/>
    <w:rsid w:val="769010F9"/>
    <w:rsid w:val="769A6A08"/>
    <w:rsid w:val="76BC2ADA"/>
    <w:rsid w:val="76E47C83"/>
    <w:rsid w:val="77075720"/>
    <w:rsid w:val="771C636F"/>
    <w:rsid w:val="779437BB"/>
    <w:rsid w:val="78320EC2"/>
    <w:rsid w:val="78DA051D"/>
    <w:rsid w:val="790B1A57"/>
    <w:rsid w:val="790E2D96"/>
    <w:rsid w:val="79714CEC"/>
    <w:rsid w:val="79DE0088"/>
    <w:rsid w:val="79E63D12"/>
    <w:rsid w:val="7A01558E"/>
    <w:rsid w:val="7A1A32EC"/>
    <w:rsid w:val="7A2D4903"/>
    <w:rsid w:val="7A97325F"/>
    <w:rsid w:val="7B07227A"/>
    <w:rsid w:val="7B120A1C"/>
    <w:rsid w:val="7B187EFC"/>
    <w:rsid w:val="7B2745E3"/>
    <w:rsid w:val="7BC75E29"/>
    <w:rsid w:val="7C2017B1"/>
    <w:rsid w:val="7C615187"/>
    <w:rsid w:val="7C887303"/>
    <w:rsid w:val="7D56365D"/>
    <w:rsid w:val="7DEA3B2D"/>
    <w:rsid w:val="7E07273B"/>
    <w:rsid w:val="7E807F12"/>
    <w:rsid w:val="7EC30B4D"/>
    <w:rsid w:val="7FC317DF"/>
    <w:rsid w:val="7FD0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2"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after="160"/>
      <w:contextualSpacing/>
      <w:jc w:val="center"/>
      <w:outlineLvl w:val="0"/>
    </w:pPr>
    <w:rPr>
      <w:rFonts w:ascii="宋体" w:hAnsi="宋体" w:eastAsia="宋体" w:cstheme="majorBidi"/>
      <w:b/>
      <w:bCs/>
      <w:sz w:val="44"/>
      <w:szCs w:val="28"/>
      <w:lang w:val="en-GB" w:eastAsia="zh-CN" w:bidi="ar-SA"/>
    </w:rPr>
  </w:style>
  <w:style w:type="paragraph" w:styleId="3">
    <w:name w:val="heading 2"/>
    <w:basedOn w:val="1"/>
    <w:next w:val="1"/>
    <w:link w:val="21"/>
    <w:semiHidden/>
    <w:unhideWhenUsed/>
    <w:qFormat/>
    <w:uiPriority w:val="9"/>
    <w:pPr>
      <w:spacing w:before="240" w:after="120"/>
      <w:contextualSpacing/>
      <w:outlineLvl w:val="1"/>
    </w:pPr>
    <w:rPr>
      <w:b/>
      <w:color w:val="44546A" w:themeColor="text2"/>
      <w:sz w:val="24"/>
      <w:szCs w:val="26"/>
      <w:lang w:val="en-GB"/>
      <w14:textFill>
        <w14:solidFill>
          <w14:schemeClr w14:val="tx2"/>
        </w14:solidFill>
      </w14:textFill>
    </w:rPr>
  </w:style>
  <w:style w:type="paragraph" w:styleId="4">
    <w:name w:val="heading 3"/>
    <w:basedOn w:val="1"/>
    <w:next w:val="1"/>
    <w:qFormat/>
    <w:uiPriority w:val="0"/>
    <w:pPr>
      <w:keepNext/>
      <w:keepLines/>
      <w:numPr>
        <w:ilvl w:val="2"/>
        <w:numId w:val="1"/>
      </w:numPr>
      <w:spacing w:before="120" w:after="120"/>
      <w:outlineLvl w:val="2"/>
    </w:pPr>
    <w:rPr>
      <w:b/>
      <w:bCs/>
      <w:sz w:val="24"/>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2"/>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12">
    <w:name w:val="footnote text"/>
    <w:basedOn w:val="1"/>
    <w:qFormat/>
    <w:uiPriority w:val="0"/>
    <w:pPr>
      <w:snapToGrid w:val="0"/>
      <w:jc w:val="left"/>
    </w:pPr>
    <w:rPr>
      <w:sz w:val="18"/>
    </w:rPr>
  </w:style>
  <w:style w:type="paragraph" w:styleId="13">
    <w:name w:val="toc 2"/>
    <w:basedOn w:val="3"/>
    <w:next w:val="1"/>
    <w:qFormat/>
    <w:uiPriority w:val="39"/>
    <w:pPr>
      <w:keepNext w:val="0"/>
      <w:keepLines w:val="0"/>
      <w:spacing w:before="0" w:after="0" w:line="240" w:lineRule="auto"/>
      <w:ind w:left="210"/>
      <w:jc w:val="left"/>
      <w:outlineLvl w:val="9"/>
    </w:pPr>
    <w:rPr>
      <w:rFonts w:ascii="Times New Roman" w:hAnsi="Times New Roman"/>
      <w:b w:val="0"/>
      <w:smallCaps/>
      <w:sz w:val="2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ind w:firstLine="420" w:firstLineChars="1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otnote reference"/>
    <w:basedOn w:val="18"/>
    <w:qFormat/>
    <w:uiPriority w:val="0"/>
    <w:rPr>
      <w:vertAlign w:val="superscript"/>
    </w:rPr>
  </w:style>
  <w:style w:type="character" w:customStyle="1" w:styleId="21">
    <w:name w:val="标题 2 字符"/>
    <w:basedOn w:val="18"/>
    <w:link w:val="3"/>
    <w:qFormat/>
    <w:uiPriority w:val="0"/>
    <w:rPr>
      <w:rFonts w:ascii="Calibri Light" w:hAnsi="Calibri Light" w:eastAsia="宋体" w:cs="Times New Roman"/>
      <w:b/>
      <w:bCs/>
      <w:sz w:val="32"/>
      <w:szCs w:val="32"/>
      <w:lang w:eastAsia="en-US"/>
    </w:rPr>
  </w:style>
  <w:style w:type="paragraph" w:customStyle="1" w:styleId="22">
    <w:name w:val="无间隔1"/>
    <w:qFormat/>
    <w:uiPriority w:val="0"/>
    <w:rPr>
      <w:rFonts w:ascii="Times New Roman" w:hAnsi="Times New Roman" w:eastAsia="宋体" w:cs="Times New Roman"/>
      <w:sz w:val="22"/>
      <w:szCs w:val="22"/>
      <w:lang w:val="en-US" w:eastAsia="en-US" w:bidi="en-US"/>
    </w:rPr>
  </w:style>
  <w:style w:type="paragraph" w:styleId="23">
    <w:name w:val="List Paragraph"/>
    <w:basedOn w:val="1"/>
    <w:qFormat/>
    <w:uiPriority w:val="34"/>
    <w:pPr>
      <w:spacing w:after="120"/>
      <w:ind w:left="720"/>
      <w:contextualSpacing/>
    </w:pPr>
  </w:style>
  <w:style w:type="paragraph" w:customStyle="1" w:styleId="24">
    <w:name w:val="普通 (Web)"/>
    <w:basedOn w:val="1"/>
    <w:qFormat/>
    <w:uiPriority w:val="0"/>
    <w:pPr>
      <w:spacing w:before="100" w:beforeAutospacing="1" w:after="100" w:afterAutospacing="1"/>
      <w:jc w:val="left"/>
    </w:pPr>
    <w:rPr>
      <w:rFonts w:ascii="宋体" w:hAnsi="宋体"/>
      <w:kern w:val="0"/>
      <w:sz w:val="24"/>
      <w:szCs w:val="20"/>
    </w:rPr>
  </w:style>
  <w:style w:type="paragraph" w:customStyle="1" w:styleId="25">
    <w:name w:val="p0"/>
    <w:basedOn w:val="1"/>
    <w:qFormat/>
    <w:uiPriority w:val="0"/>
    <w:pPr>
      <w:widowControl/>
    </w:pPr>
    <w:rPr>
      <w:kern w:val="0"/>
      <w:szCs w:val="21"/>
    </w:rPr>
  </w:style>
  <w:style w:type="paragraph" w:customStyle="1" w:styleId="26">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7034</Words>
  <Characters>7374</Characters>
  <Lines>39</Lines>
  <Paragraphs>11</Paragraphs>
  <TotalTime>64</TotalTime>
  <ScaleCrop>false</ScaleCrop>
  <LinksUpToDate>false</LinksUpToDate>
  <CharactersWithSpaces>7782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2025-07-21T10:17:00Z</dcterms:created>
  <dc:creator>LD</dc:creator>
  <cp:lastModifiedBy>段  烨</cp:lastModifiedBy>
  <cp:lastPrinted>2025-10-30T03:52:00Z</cp:lastPrinted>
  <dcterms:modified xsi:type="dcterms:W3CDTF">2026-04-30T09:27:12Z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8A4FF13D240441B383C3009630FDBD7F_13</vt:lpwstr>
  </property>
  <property fmtid="{D5CDD505-2E9C-101B-9397-08002B2CF9AE}" pid="4" name="KSOTemplateDocerSaveRecord">
    <vt:lpwstr>eyJoZGlkIjoiODMyZWY5YzE3MDc0NjU4MDBmMjlkNWI5NDM0YmUxZmYiLCJ1c2VySWQiOiIxNTY4ODA1OTc4In0=</vt:lpwstr>
  </property>
</Properties>
</file>